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E5" w:rsidRPr="009C1071" w:rsidRDefault="00E738E5" w:rsidP="0017175E">
      <w:pPr>
        <w:ind w:firstLineChars="2000" w:firstLine="4600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bookmarkStart w:id="0" w:name="_GoBack"/>
      <w:bookmarkEnd w:id="0"/>
      <w:r w:rsidRPr="009C1071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2017Q</w:t>
      </w:r>
      <w:r>
        <w:rPr>
          <w:rStyle w:val="en"/>
          <w:rFonts w:ascii="Arial" w:hAnsi="Arial" w:cs="Arial"/>
          <w:sz w:val="23"/>
          <w:szCs w:val="23"/>
          <w:bdr w:val="single" w:sz="4" w:space="0" w:color="auto"/>
        </w:rPr>
        <w:t>2</w:t>
      </w:r>
      <w:r w:rsidRPr="009C1071">
        <w:rPr>
          <w:rStyle w:val="en"/>
          <w:rFonts w:ascii="Arial" w:hAnsi="Arial" w:cs="Arial"/>
          <w:sz w:val="23"/>
          <w:szCs w:val="23"/>
          <w:bdr w:val="single" w:sz="4" w:space="0" w:color="auto"/>
        </w:rPr>
        <w:t xml:space="preserve"> </w:t>
      </w:r>
      <w:r>
        <w:rPr>
          <w:rStyle w:val="en"/>
          <w:rFonts w:ascii="Arial" w:hAnsi="Arial" w:cs="Arial"/>
          <w:sz w:val="23"/>
          <w:szCs w:val="23"/>
          <w:bdr w:val="single" w:sz="4" w:space="0" w:color="auto"/>
        </w:rPr>
        <w:t>Individual</w:t>
      </w:r>
      <w:r w:rsidRPr="009C1071">
        <w:rPr>
          <w:rStyle w:val="en"/>
          <w:rFonts w:ascii="Arial" w:hAnsi="Arial" w:cs="Arial"/>
          <w:sz w:val="23"/>
          <w:szCs w:val="23"/>
          <w:bdr w:val="single" w:sz="4" w:space="0" w:color="auto"/>
        </w:rPr>
        <w:t xml:space="preserve"> Financial Report</w:t>
      </w:r>
    </w:p>
    <w:p w:rsidR="009D2925" w:rsidRPr="00E772AF" w:rsidRDefault="009D2925" w:rsidP="009D2925">
      <w:pPr>
        <w:widowControl/>
        <w:rPr>
          <w:rStyle w:val="en"/>
          <w:rFonts w:ascii="Courier New" w:hAnsi="Courier New" w:cs="Courier New"/>
          <w:sz w:val="18"/>
          <w:szCs w:val="18"/>
        </w:rPr>
      </w:pPr>
      <w:r w:rsidRPr="00E772AF">
        <w:rPr>
          <w:rFonts w:ascii="Courier New" w:eastAsia="新細明體" w:hAnsi="Courier New" w:cs="Courier New"/>
          <w:kern w:val="0"/>
          <w:sz w:val="18"/>
          <w:szCs w:val="18"/>
        </w:rPr>
        <w:t>Unit: NT$ thousand</w:t>
      </w:r>
    </w:p>
    <w:tbl>
      <w:tblPr>
        <w:tblW w:w="124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1701"/>
        <w:gridCol w:w="1701"/>
        <w:gridCol w:w="1701"/>
      </w:tblGrid>
      <w:tr w:rsidR="009D2925" w:rsidRPr="00E772AF" w:rsidTr="00CC70C4">
        <w:trPr>
          <w:trHeight w:val="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2017/6/30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2016/12/31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2016/6/30</w:t>
            </w:r>
          </w:p>
        </w:tc>
      </w:tr>
      <w:tr w:rsidR="009D2925" w:rsidRPr="00E772AF" w:rsidTr="00CC70C4">
        <w:trPr>
          <w:trHeight w:val="324"/>
        </w:trPr>
        <w:tc>
          <w:tcPr>
            <w:tcW w:w="1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Balance Sheet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cash and cash equivalents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24,749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43,110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Notes receivable,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Notes receivable,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2,709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2,571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2,271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43,101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47,667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24,752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11,254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12,185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Inventories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inventories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78,147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79,321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94,105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8,227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9,408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181,685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183,086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208,746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financial assets at cost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financial assets at cost,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Investments accounted for using equity method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Investments accounted for using equity method,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35,238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Property, plant and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property, plant and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257,562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260,455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288,380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Deferred tax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15,989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non-current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non-current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6,726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11,484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non-current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355,654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370,483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389,679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537,339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553,569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598,425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Liabilities and equity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Short-term borrowings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short-term borrowings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Notes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notes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Accounts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accounts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14,219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18,978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payables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payables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30,154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23,014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25,094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2,639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585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90,106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80,009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84,657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Non-current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Deferred tax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deferred tax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641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Other non-current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other non-current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18,414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22,943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non-current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19,906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23,584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109,280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99,915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108,241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Equity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Share capital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Ordinary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capital stock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Capital surplus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Capital surplus, additional paid-in capital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capital surplus, additional paid-in capital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29,841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96,583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Capital surplus, others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capital surplus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Retained earnings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Unappropriated retained earnings (accumulated deficit)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unappropriated retained earnings (accumulated deficit)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retained earnings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equity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428,059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490,184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Total liabilities and equity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537,339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553,569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598,425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Number of share capital awaiting retirement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Equivalent issue shares of advance receipts for ordinary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E772AF" w:rsidTr="00CC70C4">
        <w:trPr>
          <w:trHeight w:val="32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9C1071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9C1071">
              <w:rPr>
                <w:rFonts w:ascii="Arial" w:eastAsia="新細明體" w:hAnsi="Arial" w:cs="Arial"/>
                <w:kern w:val="0"/>
                <w:sz w:val="22"/>
              </w:rPr>
              <w:t xml:space="preserve"> Number of shares in entity held by entity and by its subsidiaries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9C1071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9C1071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</w:tbl>
    <w:p w:rsidR="009D2925" w:rsidRDefault="009D2925" w:rsidP="009D2925"/>
    <w:tbl>
      <w:tblPr>
        <w:tblW w:w="124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1134"/>
        <w:gridCol w:w="1701"/>
        <w:gridCol w:w="1559"/>
      </w:tblGrid>
      <w:tr w:rsidR="009D2925" w:rsidRPr="00B63112" w:rsidTr="00CC70C4">
        <w:trPr>
          <w:trHeight w:val="6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2017/2nd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2016/2nd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To2017/06/30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To2016/06/30</w:t>
            </w:r>
          </w:p>
        </w:tc>
      </w:tr>
      <w:tr w:rsidR="009D2925" w:rsidRPr="00B63112" w:rsidTr="00CC70C4">
        <w:trPr>
          <w:trHeight w:val="324"/>
        </w:trPr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comprehensive income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Operating revenue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79,436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80,839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152,338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141,696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Operating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operating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70,352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78,599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133,901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134,115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7,581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7,581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Operating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Selling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selling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4,069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7,263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administrative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10,762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19,502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18,085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research and development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6,043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11,689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11,631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19,903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40,541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36,979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other income (expenses)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other income (expenses)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-22,104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-29,398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180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-841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Finance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Finance costs, 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275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-936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-30,334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Tax expense (income)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-122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-0.71</w:t>
            </w:r>
          </w:p>
        </w:tc>
      </w:tr>
      <w:tr w:rsidR="009D2925" w:rsidRPr="00B63112" w:rsidTr="00CC70C4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-0.71</w:t>
            </w:r>
          </w:p>
        </w:tc>
      </w:tr>
    </w:tbl>
    <w:p w:rsidR="009D2925" w:rsidRPr="00B63112" w:rsidRDefault="009D2925" w:rsidP="009D2925">
      <w:pPr>
        <w:rPr>
          <w:sz w:val="22"/>
        </w:rPr>
      </w:pPr>
    </w:p>
    <w:tbl>
      <w:tblPr>
        <w:tblW w:w="114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985"/>
        <w:gridCol w:w="1559"/>
      </w:tblGrid>
      <w:tr w:rsidR="009D2925" w:rsidRPr="00B63112" w:rsidTr="00CC70C4">
        <w:trPr>
          <w:trHeight w:val="40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lastRenderedPageBreak/>
              <w:t>Accounting Title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To2017/06/30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To2016/06/30</w:t>
            </w:r>
          </w:p>
        </w:tc>
      </w:tr>
      <w:tr w:rsidR="009D2925" w:rsidRPr="00B63112" w:rsidTr="00CC70C4">
        <w:trPr>
          <w:trHeight w:val="324"/>
        </w:trPr>
        <w:tc>
          <w:tcPr>
            <w:tcW w:w="1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cash flows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-30,334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-30,334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Adjustments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Depreciation expense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28,534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29,010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Amortization expense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Provision (reversal of provision) for bad debt expense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-32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expense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275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income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Dividend income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Loss (gain) on disposal of property, </w:t>
            </w:r>
            <w:proofErr w:type="spellStart"/>
            <w:r w:rsidRPr="00B63112">
              <w:rPr>
                <w:rFonts w:ascii="Arial" w:eastAsia="新細明體" w:hAnsi="Arial" w:cs="Arial"/>
                <w:kern w:val="0"/>
                <w:sz w:val="22"/>
              </w:rPr>
              <w:t>plan</w:t>
            </w:r>
            <w:proofErr w:type="spellEnd"/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and equipment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133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28,871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29,368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957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-5,279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-13,507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 due from related parties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31,538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inventories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1,174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4,646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current assets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1,635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operating assets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25,269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-824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2,745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-3,588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current liabilities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125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operating liabilities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-13,996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7,441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-15,538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-10,139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9,731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adjustments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39,099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-6,863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8,765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received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Dividends received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paid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-275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Dividends paid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Income taxes refund (paid)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-7,126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8,508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Acquisition of investments accounted for using equity method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-9,516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-5,914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in refundable deposits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-2,633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-2,619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-8,533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financing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in short-term loans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dividends paid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financing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-19,275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43,135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24,749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43,110</w:t>
            </w:r>
          </w:p>
        </w:tc>
      </w:tr>
      <w:tr w:rsidR="009D2925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reported in the statement of financial position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24,749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43,110</w:t>
            </w:r>
          </w:p>
        </w:tc>
      </w:tr>
    </w:tbl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Pr="00322643" w:rsidRDefault="009D2925" w:rsidP="009D2925">
      <w:pPr>
        <w:rPr>
          <w:b/>
        </w:rPr>
      </w:pPr>
      <w:r w:rsidRPr="00322643">
        <w:rPr>
          <w:rFonts w:hint="eastAsia"/>
          <w:b/>
        </w:rPr>
        <w:lastRenderedPageBreak/>
        <w:t>2017/06/30</w:t>
      </w:r>
      <w:r w:rsidRPr="00322643">
        <w:rPr>
          <w:rFonts w:hint="eastAsia"/>
          <w:b/>
        </w:rPr>
        <w:t xml:space="preserve">　</w:t>
      </w:r>
      <w:r w:rsidRPr="00322643">
        <w:rPr>
          <w:rFonts w:hint="eastAsia"/>
          <w:b/>
        </w:rPr>
        <w:t>Statement of Stockholders' Equity</w:t>
      </w:r>
    </w:p>
    <w:p w:rsidR="009D2925" w:rsidRDefault="009D2925" w:rsidP="009D2925">
      <w:r w:rsidRPr="00E772AF">
        <w:t>Unit: NT$ thousand</w:t>
      </w:r>
    </w:p>
    <w:tbl>
      <w:tblPr>
        <w:tblW w:w="1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0"/>
        <w:gridCol w:w="1520"/>
        <w:gridCol w:w="1520"/>
        <w:gridCol w:w="1440"/>
        <w:gridCol w:w="1694"/>
        <w:gridCol w:w="1120"/>
        <w:gridCol w:w="1100"/>
      </w:tblGrid>
      <w:tr w:rsidR="009D2925" w:rsidRPr="00E772AF" w:rsidTr="00CC70C4">
        <w:trPr>
          <w:trHeight w:val="816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66,742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66,742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41,147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41,147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-25,595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428,059</w:t>
            </w:r>
          </w:p>
        </w:tc>
      </w:tr>
    </w:tbl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Pr="00322643" w:rsidRDefault="009D2925" w:rsidP="009D2925">
      <w:pPr>
        <w:rPr>
          <w:b/>
        </w:rPr>
      </w:pPr>
      <w:r w:rsidRPr="00322643">
        <w:rPr>
          <w:rFonts w:hint="eastAsia"/>
          <w:b/>
        </w:rPr>
        <w:lastRenderedPageBreak/>
        <w:t>2016/06/30</w:t>
      </w:r>
      <w:r w:rsidRPr="00322643">
        <w:rPr>
          <w:rFonts w:hint="eastAsia"/>
          <w:b/>
        </w:rPr>
        <w:t xml:space="preserve">　</w:t>
      </w:r>
      <w:r w:rsidRPr="00322643">
        <w:rPr>
          <w:rFonts w:hint="eastAsia"/>
          <w:b/>
        </w:rPr>
        <w:t>Statement of Stockholders' Equity</w:t>
      </w:r>
    </w:p>
    <w:p w:rsidR="009D2925" w:rsidRDefault="009D2925" w:rsidP="009D2925">
      <w:r w:rsidRPr="00E772AF">
        <w:t>Unit: NT$ thousand</w:t>
      </w:r>
    </w:p>
    <w:tbl>
      <w:tblPr>
        <w:tblW w:w="141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0"/>
        <w:gridCol w:w="1520"/>
        <w:gridCol w:w="1520"/>
        <w:gridCol w:w="1440"/>
        <w:gridCol w:w="1694"/>
        <w:gridCol w:w="1120"/>
        <w:gridCol w:w="1100"/>
      </w:tblGrid>
      <w:tr w:rsidR="009D2925" w:rsidRPr="00E772AF" w:rsidTr="00CC70C4">
        <w:trPr>
          <w:trHeight w:val="816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Total retained 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earnings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133,583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520,396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36,922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36,922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6,710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</w:tr>
      <w:tr w:rsidR="009D2925" w:rsidRPr="00E772AF" w:rsidTr="00CC70C4">
        <w:trPr>
          <w:trHeight w:val="32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-30,212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25" w:rsidRPr="00B63112" w:rsidRDefault="009D2925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490,184</w:t>
            </w:r>
          </w:p>
        </w:tc>
      </w:tr>
    </w:tbl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9D2925" w:rsidRDefault="009D2925" w:rsidP="009D2925"/>
    <w:p w:rsidR="0077612C" w:rsidRPr="009D2925" w:rsidRDefault="0077612C" w:rsidP="009D2925">
      <w:pPr>
        <w:rPr>
          <w:rStyle w:val="en"/>
        </w:rPr>
      </w:pPr>
    </w:p>
    <w:sectPr w:rsidR="0077612C" w:rsidRPr="009D2925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C70EB"/>
    <w:rsid w:val="000F10BE"/>
    <w:rsid w:val="0013714F"/>
    <w:rsid w:val="0017175E"/>
    <w:rsid w:val="001949AE"/>
    <w:rsid w:val="00217DFD"/>
    <w:rsid w:val="00381B2F"/>
    <w:rsid w:val="003E3CA6"/>
    <w:rsid w:val="00527DE1"/>
    <w:rsid w:val="005709BC"/>
    <w:rsid w:val="0077612C"/>
    <w:rsid w:val="009D2925"/>
    <w:rsid w:val="00CE362E"/>
    <w:rsid w:val="00DC673D"/>
    <w:rsid w:val="00E738E5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A5EC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925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1931-F5E3-464B-B6ED-1B2E0993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5</cp:revision>
  <dcterms:created xsi:type="dcterms:W3CDTF">2020-01-20T03:18:00Z</dcterms:created>
  <dcterms:modified xsi:type="dcterms:W3CDTF">2020-01-21T05:41:00Z</dcterms:modified>
</cp:coreProperties>
</file>