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3E" w:rsidRDefault="003E3CA6" w:rsidP="00081D3E">
      <w:pPr>
        <w:jc w:val="center"/>
        <w:rPr>
          <w:rFonts w:ascii="Arial" w:hAnsi="Arial" w:cs="Arial"/>
          <w:sz w:val="23"/>
          <w:szCs w:val="23"/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235966">
        <w:rPr>
          <w:rFonts w:ascii="Arial" w:hAnsi="Arial" w:cs="Arial"/>
          <w:sz w:val="23"/>
          <w:szCs w:val="23"/>
          <w:bdr w:val="single" w:sz="4" w:space="0" w:color="auto"/>
        </w:rPr>
        <w:t>2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081D3E" w:rsidRPr="00081D3E" w:rsidRDefault="00081D3E" w:rsidP="00081D3E">
      <w:pPr>
        <w:rPr>
          <w:rFonts w:ascii="Arial" w:hAnsi="Arial" w:cs="Arial"/>
          <w:sz w:val="23"/>
          <w:szCs w:val="23"/>
          <w:bdr w:val="single" w:sz="4" w:space="0" w:color="auto"/>
        </w:rPr>
      </w:pPr>
      <w:r w:rsidRPr="00A60036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0297"/>
        <w:gridCol w:w="1174"/>
        <w:gridCol w:w="1302"/>
        <w:gridCol w:w="1174"/>
      </w:tblGrid>
      <w:tr w:rsidR="00235966" w:rsidRPr="00235966" w:rsidTr="00081D3E">
        <w:trPr>
          <w:hidden/>
        </w:trPr>
        <w:tc>
          <w:tcPr>
            <w:tcW w:w="0" w:type="auto"/>
            <w:gridSpan w:val="5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資產負債表</w:t>
            </w:r>
            <w:r w:rsidRPr="00235966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Balance Sheet</w:t>
            </w:r>
          </w:p>
        </w:tc>
      </w:tr>
      <w:tr w:rsidR="00081D3E" w:rsidRPr="00235966" w:rsidTr="00081D3E">
        <w:trPr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代號</w:t>
            </w:r>
            <w:r w:rsidRPr="00235966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會計項目</w:t>
            </w:r>
            <w:r w:rsidRPr="00235966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2020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235966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2020/6/30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2019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12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31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235966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2019/12/31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2019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235966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235966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2019/6/30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資產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流動資產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現金及約當現金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25,934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39,501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應收票據淨額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4,586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1,984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4,360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應收帳款淨額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72,079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59,851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64,245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應收帳款－關係人淨額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62,735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30,495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33,323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130X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存貨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192,165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164,003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133,697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1470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其他流動資產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12,624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14,227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28,253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流動資產合計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370,123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323,693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303,379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非流動資產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169,694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145,445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128,059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不動產、廠房及設備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408,425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181,819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193,959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1755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使</w:t>
            </w: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??</w:t>
            </w: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權資產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Right-of-use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911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1,680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2,491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1840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遞延所得稅資產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23,007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22,569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18,676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1900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其他非流動資產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13,620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9,997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10,197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15XX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非流動資產合計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615,657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361,510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353,382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1XXX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資產總計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985,780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656,761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>負債及權益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流動負債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短期借款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borrowings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47,543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合約負債－流動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contract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4,514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4,364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2,399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應付票據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Notes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394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2170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應付帳款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33,188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28,151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35,502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其他應付款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44,334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38,142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34,255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2280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租賃負債－流動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Current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1,330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808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其他流動負債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19,602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19,611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12,570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21XX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流動負債合計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150,494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91,598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85,534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非流動負債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長期借款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186,875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56,250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65,625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遞延所得稅負債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20,699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16,626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11,063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租賃負債－非流動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Non-current lease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1,689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2600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其他非流動負債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16,098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20,004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17,679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25XX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非流動負債合計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223,672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93,239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96,056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2XXX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負債總計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374,166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184,837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181,590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權益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歸屬於母公司業主之權益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股本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普通股股本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股本合計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Share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423,735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資本公積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資本公積－發行溢價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29,841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lastRenderedPageBreak/>
              <w:t>3280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資本公積－其他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78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資本公積合計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29,919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保留盈餘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16,558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(20,418)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保留盈餘合計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16,558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(20,418)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其他權益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Unrealised</w:t>
            </w:r>
            <w:proofErr w:type="spellEnd"/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80,775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41,935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　其他權益合計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80,775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41,935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　歸屬於母公司業主之權益合計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550,987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475,171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36XX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非控制權益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Non-controlling interests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60,627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3XXX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　權益總額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611,614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475,171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3X2X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負債及權益總計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985,780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656,761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待註銷股本股數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235966" w:rsidRPr="00235966" w:rsidTr="00081D3E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235966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  <w:tr w:rsidR="00E16397" w:rsidRPr="00235966" w:rsidTr="00E16397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397" w:rsidRPr="00235966" w:rsidRDefault="00E16397" w:rsidP="00235966">
            <w:pPr>
              <w:widowControl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3999</w:t>
            </w:r>
          </w:p>
        </w:tc>
        <w:tc>
          <w:tcPr>
            <w:tcW w:w="1029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397" w:rsidRPr="00235966" w:rsidRDefault="00E16397" w:rsidP="00E16397">
            <w:pPr>
              <w:widowControl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vanish/>
                <w:color w:val="333333"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</w:t>
            </w:r>
            <w:r w:rsidRPr="0023596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397" w:rsidRPr="00235966" w:rsidRDefault="00E16397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397" w:rsidRPr="00235966" w:rsidRDefault="00E16397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6397" w:rsidRPr="00235966" w:rsidRDefault="00E16397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</w:tr>
    </w:tbl>
    <w:p w:rsidR="00235966" w:rsidRPr="00235966" w:rsidRDefault="00235966" w:rsidP="00E17305">
      <w:pPr>
        <w:pStyle w:val="a9"/>
      </w:pPr>
      <w:r w:rsidRPr="00E17305">
        <w:rPr>
          <w:vanish/>
        </w:rPr>
        <w:lastRenderedPageBreak/>
        <w:t>單位：新臺幣仟元　每股盈餘單位：新台幣元</w:t>
      </w:r>
      <w:r w:rsidRPr="00E17305">
        <w:t>Unit: NT$ thousands</w:t>
      </w:r>
      <w:r w:rsidRPr="00E17305">
        <w:t xml:space="preserve">　</w:t>
      </w:r>
      <w:r w:rsidRPr="00E17305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6865"/>
        <w:gridCol w:w="1774"/>
        <w:gridCol w:w="1774"/>
        <w:gridCol w:w="1774"/>
        <w:gridCol w:w="1774"/>
      </w:tblGrid>
      <w:tr w:rsidR="00E17305" w:rsidRPr="00E17305" w:rsidTr="00E17305">
        <w:trPr>
          <w:hidden/>
        </w:trPr>
        <w:tc>
          <w:tcPr>
            <w:tcW w:w="0" w:type="auto"/>
            <w:gridSpan w:val="6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綜合損益表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E17305" w:rsidRPr="00E17305" w:rsidTr="00E17305">
        <w:trPr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代號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會計項目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4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2020/4/1To6/30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2019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4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2019/4/1To6/30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2020/1/1To6/30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2019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2019/1/1To6/30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營業收入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營業收入合計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120,160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111,484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224,649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214,289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營業成本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營業成本合計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83,243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77,518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152,178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152,360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營業毛利（毛損）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36,917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33,966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72,471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61,929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營業毛利（毛損）淨額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36,917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33,966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72,471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61,929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營業費用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推銷費用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6,226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4,605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10,227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8,627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管理費用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13,636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11,400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24,525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21,411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研究發展費用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7,510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7,509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14,356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14,539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營業費用合計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27,372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23,514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49,108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44,577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營業利益（損失）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9,545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10,452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23,363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17,352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營業外收入及支出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利息收入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7100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利息收入合計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interest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47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其他收入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其他收入合計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2,817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604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4,528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697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其他利益及損失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其他利益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???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損失淨額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(2,130)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1,082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(1,242)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1,375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財務成本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財務成本淨額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387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225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598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447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營業外收入及支出合計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332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1,507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2,724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1,672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繼續營業單位稅前淨利（淨損）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9,877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11,959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26,087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所得稅費用（利益）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所得稅費用（利益）合計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702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(426)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繼續營業單位本期淨利（淨損）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9,175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11,959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26,513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本期淨利（淨損）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9,175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11,959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26,513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其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???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綜合損益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(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淨額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)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不重分類至損益之項目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Unrealised</w:t>
            </w:r>
            <w:proofErr w:type="spellEnd"/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49,622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(5,155)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24,247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12,226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8349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與不重分類之項目相關之所得稅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5,656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(1,113)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559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2,126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不重分類至損益之項目總額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43,966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(4,042)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其他綜合損益（淨額）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other comprehensive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43,966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(4,042)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本期綜合損益總額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53,141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7,917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50,201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29,124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淨利（損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???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歸屬於：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母公司業主（淨利／損）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9,595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11,959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8620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非控制權益（淨利／損）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(loss), attributable to non-controlling interests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(420)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(420)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綜合損益總額歸屬於：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母公司業主（綜合損益）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53,561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7,917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50,621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29,124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8720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非控制權益（綜合損益）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Comprehensive income, attributable to non-controlling interests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(420)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(420)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基本每股盈餘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繼續營業單位淨利（淨損）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0.64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0.45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基本每股盈餘合計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0.64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0.45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稀釋每股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??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餘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Diluted earnings per share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9810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繼續營業單位淨利（淨損）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Diluted earnings (loss) per share from continuing operations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0.64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0.45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9850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稀釋每股盈餘合計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diluted earnings per share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0.28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0.64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0.45 </w:t>
            </w:r>
          </w:p>
        </w:tc>
      </w:tr>
    </w:tbl>
    <w:p w:rsidR="00235966" w:rsidRPr="00235966" w:rsidRDefault="00235966" w:rsidP="00E17305">
      <w:r w:rsidRPr="00235966">
        <w:br/>
      </w:r>
      <w:r w:rsidRPr="00235966">
        <w:rPr>
          <w:vanish/>
        </w:rPr>
        <w:t>單位：新臺幣仟元</w:t>
      </w:r>
      <w:r w:rsidRPr="00235966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385"/>
        <w:gridCol w:w="2088"/>
        <w:gridCol w:w="2088"/>
      </w:tblGrid>
      <w:tr w:rsidR="00E17305" w:rsidRPr="00E17305" w:rsidTr="00E17305">
        <w:trPr>
          <w:hidden/>
        </w:trPr>
        <w:tc>
          <w:tcPr>
            <w:tcW w:w="0" w:type="auto"/>
            <w:gridSpan w:val="4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現金流量表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Statements of Cash Flows</w:t>
            </w:r>
          </w:p>
        </w:tc>
      </w:tr>
      <w:tr w:rsidR="00E17305" w:rsidRPr="00E17305" w:rsidTr="00E17305">
        <w:trPr>
          <w:hidden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代號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會計項目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2020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2020/1/1To6/30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2019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年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1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日至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6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月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30</w:t>
            </w:r>
            <w:r w:rsidRPr="00E17305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日</w:t>
            </w:r>
            <w:r w:rsidRPr="00E17305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2019/1/1To6/30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營業活動之現金流量－間接法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繼續營業單位稅前淨利（淨損）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26,087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本期稅前淨利（淨損）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26,087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調整項目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收益費損項目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折舊費用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17,933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20,622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lastRenderedPageBreak/>
              <w:t>A20200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攤銷費用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209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200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利息費用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598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447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利息收入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(36)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(45)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A22500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處分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??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報廢不動產、廠房及設備損失（利益）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Loss (gain) on disposal of property, </w:t>
            </w:r>
            <w:proofErr w:type="spellStart"/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plan</w:t>
            </w:r>
            <w:proofErr w:type="spellEnd"/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and equipment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192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A29900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其他項目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Other adjustments to reconcile profit (loss)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(2,793)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收益費損項目合計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15,911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21,416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與營業活動相關之資產之淨變動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A31130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應收票據（增加）減少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(789)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(224)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應收帳款（增加）減少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(3,225)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(14,165)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(32,240)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(314)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存貨（增加）減少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Adjustments for decrease (increase) in inventories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(25,901)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(21,424)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其他流動資產（增加）減少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Adjustments for decrease (increase) in other current assets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2,376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(3,523)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(59,779)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(39,650)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???</w:t>
            </w: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與營業活動相關之負債之淨變動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lastRenderedPageBreak/>
              <w:t>A32130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應付票據增加（減少）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Increase (decrease) in notes payable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(1,300)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應付帳款增加（減少）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313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7,652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其他應付款增加（減少）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8,278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3,730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其他流動負債增加（減少）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Adjustments for increase (decrease) in other current liabilities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(5,676)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2,711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2,912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12,793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(56,867)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(26,857)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　調整項目合計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(40,956)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(5,441)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營運產生之現金流入（流出）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(14,869)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13,583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收取之利息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36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45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支付之利息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(598)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(430)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營業活動之淨現金流入（流出）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(15,431)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13,198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投資活動之現金流量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B02200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對子公司之收購（扣除所取得之現金）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Net cash flow from acquisition of subsidiaries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(136,814)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取得不動產、廠房及設備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(9,105)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(11,535)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存出保證金增加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1,181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(1,500)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lastRenderedPageBreak/>
              <w:t>B06700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其他非流動資產增加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Increase in other non-current assets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371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B07100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預付設備款增加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(1,755)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投資活動之淨現金流入（流出）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(146,122)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(13,035)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籌資活動之現金流量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C00100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短期借款增加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Increase in short-term loans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4,499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C01600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舉借長期借款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Proceeds from long-term debt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140,000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C01700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償還長期借款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Repayments of long-term debt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(9,375)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租賃本金償還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(770)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(821)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CCCC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籌資活動之淨現金流入（流出）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134,354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(821)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本期現金及約當現金增加（減少）數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(27,199)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(658)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期初現金及約當現金餘額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40,159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期末現金及約當現金餘額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25,934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39,501 </w:t>
            </w:r>
          </w:p>
        </w:tc>
      </w:tr>
      <w:tr w:rsidR="00E17305" w:rsidRPr="00E17305" w:rsidTr="00E1730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 xml:space="preserve">　資產負債表帳列之現金及約當現金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E17305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25,934 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35966" w:rsidRPr="00E17305" w:rsidRDefault="00235966" w:rsidP="002359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E17305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39,501 </w:t>
            </w:r>
          </w:p>
        </w:tc>
      </w:tr>
    </w:tbl>
    <w:p w:rsidR="00235966" w:rsidRPr="00235966" w:rsidRDefault="00235966" w:rsidP="005331A9">
      <w:r w:rsidRPr="00235966">
        <w:br/>
      </w:r>
    </w:p>
    <w:p w:rsidR="005331A9" w:rsidRDefault="005331A9" w:rsidP="005331A9"/>
    <w:p w:rsidR="005331A9" w:rsidRDefault="005331A9" w:rsidP="005331A9"/>
    <w:p w:rsidR="00235966" w:rsidRPr="00235966" w:rsidRDefault="00235966" w:rsidP="005331A9">
      <w:r w:rsidRPr="00235966">
        <w:rPr>
          <w:vanish/>
        </w:rPr>
        <w:lastRenderedPageBreak/>
        <w:t>單位：新臺幣仟元</w:t>
      </w:r>
      <w:r w:rsidRPr="00235966">
        <w:t>Unit: NT$ thousands</w:t>
      </w:r>
    </w:p>
    <w:tbl>
      <w:tblPr>
        <w:tblpPr w:leftFromText="180" w:rightFromText="180" w:vertAnchor="text" w:tblpY="1"/>
        <w:tblOverlap w:val="never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798"/>
        <w:gridCol w:w="1144"/>
        <w:gridCol w:w="1034"/>
        <w:gridCol w:w="1028"/>
        <w:gridCol w:w="1898"/>
        <w:gridCol w:w="1158"/>
        <w:gridCol w:w="1972"/>
        <w:gridCol w:w="1049"/>
        <w:gridCol w:w="1458"/>
        <w:gridCol w:w="1364"/>
        <w:gridCol w:w="1077"/>
      </w:tblGrid>
      <w:tr w:rsidR="008F1D02" w:rsidRPr="00235966" w:rsidTr="008F1D02">
        <w:trPr>
          <w:hidden/>
        </w:trPr>
        <w:tc>
          <w:tcPr>
            <w:tcW w:w="12611" w:type="dxa"/>
            <w:gridSpan w:val="1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當期權益變動表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Statements of Change in Equity </w:t>
            </w:r>
          </w:p>
        </w:tc>
      </w:tr>
      <w:tr w:rsidR="008F1D02" w:rsidRPr="00235966" w:rsidTr="008F1D02">
        <w:tc>
          <w:tcPr>
            <w:tcW w:w="1888" w:type="dxa"/>
            <w:gridSpan w:val="2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3110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3100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3200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3350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3300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3420</w:t>
            </w:r>
          </w:p>
        </w:tc>
        <w:tc>
          <w:tcPr>
            <w:tcW w:w="853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>3400</w:t>
            </w:r>
          </w:p>
        </w:tc>
        <w:tc>
          <w:tcPr>
            <w:tcW w:w="1186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>31XX</w:t>
            </w:r>
          </w:p>
        </w:tc>
        <w:tc>
          <w:tcPr>
            <w:tcW w:w="1110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>36XX</w:t>
            </w:r>
          </w:p>
        </w:tc>
        <w:tc>
          <w:tcPr>
            <w:tcW w:w="876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>3XXX</w:t>
            </w:r>
          </w:p>
        </w:tc>
      </w:tr>
      <w:tr w:rsidR="008F1D02" w:rsidRPr="00235966" w:rsidTr="008F1D02">
        <w:tc>
          <w:tcPr>
            <w:tcW w:w="188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普通股股本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　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Ordinary share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股本合計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Total share capital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資本公積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Capital surplus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未分配盈餘（或待彌補虧損）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　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Unappropriated retained earnings (accumulated deficit) 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保留盈餘合計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Total retained earnings 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透過其他綜合損益按公允價值衡量之金融資產未實現評</w:t>
            </w: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??(</w:t>
            </w: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損</w:t>
            </w: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)</w:t>
            </w:r>
            <w:r w:rsidRPr="005331A9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益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　</w:t>
            </w:r>
            <w:proofErr w:type="spellStart"/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Unrealised</w:t>
            </w:r>
            <w:proofErr w:type="spellEnd"/>
            <w:r w:rsidRPr="005331A9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gains (losses) on financial assets measured at fair value through other comprehensive income </w:t>
            </w:r>
          </w:p>
        </w:tc>
        <w:tc>
          <w:tcPr>
            <w:tcW w:w="853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165C98"/>
                <w:kern w:val="0"/>
                <w:sz w:val="23"/>
                <w:szCs w:val="23"/>
              </w:rPr>
              <w:t>其他權益項目合計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 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　　　　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Total other equity interest </w:t>
            </w:r>
          </w:p>
        </w:tc>
        <w:tc>
          <w:tcPr>
            <w:tcW w:w="1186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165C98"/>
                <w:kern w:val="0"/>
                <w:sz w:val="23"/>
                <w:szCs w:val="23"/>
              </w:rPr>
              <w:t>歸屬於母公司業主之權益總計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 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Total equity attributable to owners of parent </w:t>
            </w:r>
          </w:p>
        </w:tc>
        <w:tc>
          <w:tcPr>
            <w:tcW w:w="1110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165C98"/>
                <w:kern w:val="0"/>
                <w:sz w:val="23"/>
                <w:szCs w:val="23"/>
              </w:rPr>
              <w:t>非控制權益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 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　　　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Non-controlling interests </w:t>
            </w:r>
          </w:p>
        </w:tc>
        <w:tc>
          <w:tcPr>
            <w:tcW w:w="876" w:type="dxa"/>
            <w:shd w:val="clear" w:color="auto" w:fill="7FCE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235966">
              <w:rPr>
                <w:rFonts w:ascii="Arial" w:eastAsia="新細明體" w:hAnsi="Arial" w:cs="Arial"/>
                <w:b/>
                <w:bCs/>
                <w:vanish/>
                <w:color w:val="165C98"/>
                <w:kern w:val="0"/>
                <w:sz w:val="23"/>
                <w:szCs w:val="23"/>
              </w:rPr>
              <w:t>權益總額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 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　　</w:t>
            </w:r>
            <w:r w:rsidRPr="00235966">
              <w:rPr>
                <w:rFonts w:ascii="Arial" w:eastAsia="新細明體" w:hAnsi="Arial" w:cs="Arial"/>
                <w:b/>
                <w:bCs/>
                <w:color w:val="165C98"/>
                <w:kern w:val="0"/>
                <w:sz w:val="23"/>
                <w:szCs w:val="23"/>
              </w:rPr>
              <w:t xml:space="preserve">Total equity </w:t>
            </w:r>
          </w:p>
        </w:tc>
        <w:bookmarkStart w:id="0" w:name="_GoBack"/>
        <w:bookmarkEnd w:id="0"/>
      </w:tr>
      <w:tr w:rsidR="008F1D02" w:rsidRPr="00235966" w:rsidTr="008F1D02">
        <w:tc>
          <w:tcPr>
            <w:tcW w:w="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A1</w:t>
            </w:r>
          </w:p>
        </w:tc>
        <w:tc>
          <w:tcPr>
            <w:tcW w:w="146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期初餘額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Equity at beginning of period </w:t>
            </w: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(10,375)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(10,375)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1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</w:tr>
      <w:tr w:rsidR="008F1D02" w:rsidRPr="00235966" w:rsidTr="008F1D02">
        <w:tc>
          <w:tcPr>
            <w:tcW w:w="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D1</w:t>
            </w:r>
          </w:p>
        </w:tc>
        <w:tc>
          <w:tcPr>
            <w:tcW w:w="146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本期淨利（淨損）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Profit (loss) </w:t>
            </w: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(420)</w:t>
            </w:r>
          </w:p>
        </w:tc>
        <w:tc>
          <w:tcPr>
            <w:tcW w:w="8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26,513 </w:t>
            </w:r>
          </w:p>
        </w:tc>
      </w:tr>
      <w:tr w:rsidR="008F1D02" w:rsidRPr="00235966" w:rsidTr="008F1D02">
        <w:tc>
          <w:tcPr>
            <w:tcW w:w="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D3</w:t>
            </w:r>
          </w:p>
        </w:tc>
        <w:tc>
          <w:tcPr>
            <w:tcW w:w="146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本期其他綜合損益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Other comprehensive income </w:t>
            </w: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1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23,688 </w:t>
            </w:r>
          </w:p>
        </w:tc>
      </w:tr>
      <w:tr w:rsidR="008F1D02" w:rsidRPr="00235966" w:rsidTr="008F1D02">
        <w:tc>
          <w:tcPr>
            <w:tcW w:w="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lastRenderedPageBreak/>
              <w:t>D5</w:t>
            </w:r>
          </w:p>
        </w:tc>
        <w:tc>
          <w:tcPr>
            <w:tcW w:w="146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本期綜合損益總額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Total comprehensive income </w:t>
            </w: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1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50,621 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(420)</w:t>
            </w:r>
          </w:p>
        </w:tc>
        <w:tc>
          <w:tcPr>
            <w:tcW w:w="8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50,201 </w:t>
            </w:r>
          </w:p>
        </w:tc>
      </w:tr>
      <w:tr w:rsidR="008F1D02" w:rsidRPr="00235966" w:rsidTr="008F1D02">
        <w:tc>
          <w:tcPr>
            <w:tcW w:w="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M5</w:t>
            </w:r>
          </w:p>
        </w:tc>
        <w:tc>
          <w:tcPr>
            <w:tcW w:w="146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實際取得或處分子公司股權價格與帳面價值差額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Difference between consideration and carrying </w:t>
            </w:r>
            <w:proofErr w:type="gramStart"/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amount</w:t>
            </w:r>
            <w:proofErr w:type="gramEnd"/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of subsidiaries acquired or disposed </w:t>
            </w: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61,047 </w:t>
            </w:r>
          </w:p>
        </w:tc>
        <w:tc>
          <w:tcPr>
            <w:tcW w:w="8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61,047 </w:t>
            </w:r>
          </w:p>
        </w:tc>
      </w:tr>
      <w:tr w:rsidR="008F1D02" w:rsidRPr="00235966" w:rsidTr="008F1D02">
        <w:tc>
          <w:tcPr>
            <w:tcW w:w="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Y1</w:t>
            </w:r>
          </w:p>
        </w:tc>
        <w:tc>
          <w:tcPr>
            <w:tcW w:w="146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權益增加</w:t>
            </w: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(</w:t>
            </w: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減少</w:t>
            </w: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)</w:t>
            </w: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總額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Total increase (decrease) in equity </w:t>
            </w: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26,933 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23,688 </w:t>
            </w:r>
          </w:p>
        </w:tc>
        <w:tc>
          <w:tcPr>
            <w:tcW w:w="1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50,621 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60,627 </w:t>
            </w:r>
          </w:p>
        </w:tc>
        <w:tc>
          <w:tcPr>
            <w:tcW w:w="8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111,248 </w:t>
            </w:r>
          </w:p>
        </w:tc>
      </w:tr>
      <w:tr w:rsidR="008F1D02" w:rsidRPr="00235966" w:rsidTr="008F1D02">
        <w:tc>
          <w:tcPr>
            <w:tcW w:w="42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Z1</w:t>
            </w:r>
          </w:p>
        </w:tc>
        <w:tc>
          <w:tcPr>
            <w:tcW w:w="146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期末餘額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5331A9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Equity at end of period </w:t>
            </w:r>
          </w:p>
        </w:tc>
        <w:tc>
          <w:tcPr>
            <w:tcW w:w="93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84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83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154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16,558 </w:t>
            </w:r>
          </w:p>
        </w:tc>
        <w:tc>
          <w:tcPr>
            <w:tcW w:w="94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16,558 </w:t>
            </w:r>
          </w:p>
        </w:tc>
        <w:tc>
          <w:tcPr>
            <w:tcW w:w="160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5331A9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5331A9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80,775 </w:t>
            </w:r>
          </w:p>
        </w:tc>
        <w:tc>
          <w:tcPr>
            <w:tcW w:w="8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80,775 </w:t>
            </w:r>
          </w:p>
        </w:tc>
        <w:tc>
          <w:tcPr>
            <w:tcW w:w="1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550,987 </w:t>
            </w:r>
          </w:p>
        </w:tc>
        <w:tc>
          <w:tcPr>
            <w:tcW w:w="11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60,627 </w:t>
            </w:r>
          </w:p>
        </w:tc>
        <w:tc>
          <w:tcPr>
            <w:tcW w:w="87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1D02" w:rsidRPr="00235966" w:rsidRDefault="008F1D02" w:rsidP="008F1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23596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611,614 </w:t>
            </w:r>
          </w:p>
        </w:tc>
      </w:tr>
    </w:tbl>
    <w:p w:rsidR="00235966" w:rsidRPr="00235966" w:rsidRDefault="005331A9" w:rsidP="008F1D02">
      <w:r>
        <w:br w:type="textWrapping" w:clear="all"/>
      </w:r>
      <w:r w:rsidR="00235966" w:rsidRPr="00235966">
        <w:br/>
      </w:r>
    </w:p>
    <w:p w:rsidR="008F1D02" w:rsidRDefault="008F1D02" w:rsidP="008F1D02"/>
    <w:p w:rsidR="008F1D02" w:rsidRDefault="008F1D02" w:rsidP="008F1D02"/>
    <w:p w:rsidR="00235966" w:rsidRPr="00235966" w:rsidRDefault="00235966" w:rsidP="008F1D02">
      <w:r w:rsidRPr="00235966">
        <w:rPr>
          <w:vanish/>
        </w:rPr>
        <w:lastRenderedPageBreak/>
        <w:t>單位：新臺幣仟元</w:t>
      </w:r>
      <w:r w:rsidRPr="00235966">
        <w:t>Unit: NT$ thousands</w:t>
      </w:r>
    </w:p>
    <w:tbl>
      <w:tblPr>
        <w:tblpPr w:leftFromText="180" w:rightFromText="180" w:vertAnchor="text" w:tblpY="1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719"/>
        <w:gridCol w:w="1233"/>
        <w:gridCol w:w="994"/>
        <w:gridCol w:w="991"/>
        <w:gridCol w:w="1711"/>
        <w:gridCol w:w="1111"/>
        <w:gridCol w:w="2547"/>
        <w:gridCol w:w="978"/>
        <w:gridCol w:w="1408"/>
        <w:gridCol w:w="1338"/>
        <w:gridCol w:w="1256"/>
        <w:gridCol w:w="50"/>
      </w:tblGrid>
      <w:tr w:rsidR="003520C6" w:rsidRPr="003D7D71" w:rsidTr="003520C6">
        <w:trPr>
          <w:gridAfter w:val="1"/>
          <w:wAfter w:w="16" w:type="pct"/>
          <w:hidden/>
        </w:trPr>
        <w:tc>
          <w:tcPr>
            <w:tcW w:w="4984" w:type="pct"/>
            <w:gridSpan w:val="12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去年同期權益變動表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Last year's Statements of Change in Equity </w:t>
            </w:r>
          </w:p>
        </w:tc>
      </w:tr>
      <w:tr w:rsidR="003520C6" w:rsidRPr="003D7D71" w:rsidTr="00F44BCC">
        <w:trPr>
          <w:gridAfter w:val="1"/>
          <w:wAfter w:w="16" w:type="pct"/>
        </w:trPr>
        <w:tc>
          <w:tcPr>
            <w:tcW w:w="685" w:type="pct"/>
            <w:gridSpan w:val="2"/>
            <w:vMerge w:val="restar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3110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3100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3200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3350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3300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3420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3400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31XX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36XX</w:t>
            </w:r>
          </w:p>
        </w:tc>
        <w:tc>
          <w:tcPr>
            <w:tcW w:w="39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3XXX</w:t>
            </w:r>
          </w:p>
        </w:tc>
      </w:tr>
      <w:tr w:rsidR="003520C6" w:rsidRPr="003D7D71" w:rsidTr="00F44BCC">
        <w:tc>
          <w:tcPr>
            <w:tcW w:w="685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普通股股本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Ordinary share 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股本合計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Total share capital 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資本公積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Capital surplus 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未分配盈餘（或待彌補虧損）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Unappropriated retained earnings (accumulated deficit) 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保留盈餘合計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Total retained earnings 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透過其他綜合損益按公允價值衡量之金融資產未實現評價</w:t>
            </w: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(</w:t>
            </w: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損</w:t>
            </w: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)</w:t>
            </w: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益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　</w:t>
            </w:r>
            <w:proofErr w:type="spellStart"/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>Unrealised</w:t>
            </w:r>
            <w:proofErr w:type="spellEnd"/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gains (losses) on financial assets measured at fair value through other comprehensive income 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其他權益項目合計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Total other equity interest 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歸屬於母公司業主之權益總計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Total equity attributable to owners of parent 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非控制權益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Non-controlling interests 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新細明體" w:hAnsi="Arial" w:cs="Arial"/>
                <w:b/>
                <w:bCs/>
                <w:vanish/>
                <w:color w:val="000000" w:themeColor="text1"/>
                <w:kern w:val="0"/>
                <w:sz w:val="23"/>
                <w:szCs w:val="23"/>
              </w:rPr>
              <w:t>權益總額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　　</w:t>
            </w:r>
            <w:r w:rsidRPr="003D7D71">
              <w:rPr>
                <w:rFonts w:ascii="Arial" w:eastAsia="新細明體" w:hAnsi="Arial" w:cs="Arial"/>
                <w:b/>
                <w:bCs/>
                <w:color w:val="000000" w:themeColor="text1"/>
                <w:kern w:val="0"/>
                <w:sz w:val="23"/>
                <w:szCs w:val="23"/>
              </w:rPr>
              <w:t xml:space="preserve">Total equity </w:t>
            </w:r>
          </w:p>
        </w:tc>
        <w:tc>
          <w:tcPr>
            <w:tcW w:w="1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520C6" w:rsidRPr="003D7D71" w:rsidTr="00F44BCC">
        <w:tc>
          <w:tcPr>
            <w:tcW w:w="1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A1</w:t>
            </w:r>
          </w:p>
        </w:tc>
        <w:tc>
          <w:tcPr>
            <w:tcW w:w="54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期初餘額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Equity at beginning of period </w:t>
            </w: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(39,442)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(39,442)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16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520C6" w:rsidRPr="003D7D71" w:rsidTr="00F44BCC">
        <w:tc>
          <w:tcPr>
            <w:tcW w:w="1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D1</w:t>
            </w:r>
          </w:p>
        </w:tc>
        <w:tc>
          <w:tcPr>
            <w:tcW w:w="54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本期淨利（淨損）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Profit (loss) </w:t>
            </w: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16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520C6" w:rsidRPr="003D7D71" w:rsidTr="00F44BCC">
        <w:tc>
          <w:tcPr>
            <w:tcW w:w="1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D3</w:t>
            </w:r>
          </w:p>
        </w:tc>
        <w:tc>
          <w:tcPr>
            <w:tcW w:w="54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本期其他綜合損益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Other comprehensive income </w:t>
            </w: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20C6" w:rsidRPr="003D7D71" w:rsidRDefault="003520C6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520C6" w:rsidRPr="003D7D71" w:rsidTr="00F44BCC">
        <w:trPr>
          <w:gridAfter w:val="1"/>
          <w:wAfter w:w="16" w:type="pct"/>
        </w:trPr>
        <w:tc>
          <w:tcPr>
            <w:tcW w:w="1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lastRenderedPageBreak/>
              <w:t>D5</w:t>
            </w:r>
          </w:p>
        </w:tc>
        <w:tc>
          <w:tcPr>
            <w:tcW w:w="54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本期綜合損益總額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Total comprehensive income </w:t>
            </w: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29,124 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9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29,124 </w:t>
            </w:r>
          </w:p>
        </w:tc>
      </w:tr>
      <w:tr w:rsidR="003520C6" w:rsidRPr="003D7D71" w:rsidTr="00F44BCC">
        <w:trPr>
          <w:gridAfter w:val="1"/>
          <w:wAfter w:w="16" w:type="pct"/>
        </w:trPr>
        <w:tc>
          <w:tcPr>
            <w:tcW w:w="1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Y1</w:t>
            </w:r>
          </w:p>
        </w:tc>
        <w:tc>
          <w:tcPr>
            <w:tcW w:w="54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權益增加</w:t>
            </w: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(</w:t>
            </w: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減少</w:t>
            </w: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)</w:t>
            </w: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總額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Total increase (decrease) in equity </w:t>
            </w: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19,024 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10,100 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29,124 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9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29,124 </w:t>
            </w:r>
          </w:p>
        </w:tc>
      </w:tr>
      <w:tr w:rsidR="003520C6" w:rsidRPr="003D7D71" w:rsidTr="00F44BCC">
        <w:trPr>
          <w:gridAfter w:val="1"/>
          <w:wAfter w:w="16" w:type="pct"/>
        </w:trPr>
        <w:tc>
          <w:tcPr>
            <w:tcW w:w="1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>Z1</w:t>
            </w:r>
          </w:p>
        </w:tc>
        <w:tc>
          <w:tcPr>
            <w:tcW w:w="54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新細明體" w:hAnsi="Arial" w:cs="Arial"/>
                <w:vanish/>
                <w:color w:val="000000" w:themeColor="text1"/>
                <w:kern w:val="0"/>
                <w:sz w:val="23"/>
                <w:szCs w:val="23"/>
              </w:rPr>
              <w:t>期末餘額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 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　</w:t>
            </w:r>
            <w:r w:rsidRPr="003D7D71">
              <w:rPr>
                <w:rFonts w:ascii="Arial" w:eastAsia="新細明體" w:hAnsi="Arial" w:cs="Arial"/>
                <w:color w:val="000000" w:themeColor="text1"/>
                <w:kern w:val="0"/>
                <w:sz w:val="23"/>
                <w:szCs w:val="23"/>
              </w:rPr>
              <w:t xml:space="preserve">Equity at end of period </w:t>
            </w:r>
          </w:p>
        </w:tc>
        <w:tc>
          <w:tcPr>
            <w:tcW w:w="39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31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31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54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(20,418)</w:t>
            </w:r>
          </w:p>
        </w:tc>
        <w:tc>
          <w:tcPr>
            <w:tcW w:w="3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>(20,418)</w:t>
            </w:r>
          </w:p>
        </w:tc>
        <w:tc>
          <w:tcPr>
            <w:tcW w:w="807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41,935 </w:t>
            </w:r>
          </w:p>
        </w:tc>
        <w:tc>
          <w:tcPr>
            <w:tcW w:w="31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41,935 </w:t>
            </w:r>
          </w:p>
        </w:tc>
        <w:tc>
          <w:tcPr>
            <w:tcW w:w="446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475,171 </w:t>
            </w:r>
          </w:p>
        </w:tc>
        <w:tc>
          <w:tcPr>
            <w:tcW w:w="424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39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D71" w:rsidRPr="003D7D71" w:rsidRDefault="003D7D71" w:rsidP="003520C6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3D7D71">
              <w:rPr>
                <w:rFonts w:ascii="Arial" w:eastAsia="細明體" w:hAnsi="Arial" w:cs="Arial"/>
                <w:color w:val="000000" w:themeColor="text1"/>
                <w:kern w:val="0"/>
                <w:sz w:val="23"/>
                <w:szCs w:val="23"/>
              </w:rPr>
              <w:t xml:space="preserve">475,171 </w:t>
            </w:r>
          </w:p>
        </w:tc>
      </w:tr>
    </w:tbl>
    <w:p w:rsidR="001949AE" w:rsidRDefault="003520C6" w:rsidP="00235966">
      <w:r>
        <w:br w:type="textWrapping" w:clear="all"/>
      </w:r>
    </w:p>
    <w:sectPr w:rsidR="001949AE" w:rsidSect="003E3CA6">
      <w:pgSz w:w="16838" w:h="11906" w:orient="landscape"/>
      <w:pgMar w:top="1797" w:right="0" w:bottom="17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11" w:rsidRDefault="00A01511" w:rsidP="00A60036">
      <w:r>
        <w:separator/>
      </w:r>
    </w:p>
  </w:endnote>
  <w:endnote w:type="continuationSeparator" w:id="0">
    <w:p w:rsidR="00A01511" w:rsidRDefault="00A01511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11" w:rsidRDefault="00A01511" w:rsidP="00A60036">
      <w:r>
        <w:separator/>
      </w:r>
    </w:p>
  </w:footnote>
  <w:footnote w:type="continuationSeparator" w:id="0">
    <w:p w:rsidR="00A01511" w:rsidRDefault="00A01511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81D3E"/>
    <w:rsid w:val="001949AE"/>
    <w:rsid w:val="00235966"/>
    <w:rsid w:val="00305140"/>
    <w:rsid w:val="003101FF"/>
    <w:rsid w:val="00326A7F"/>
    <w:rsid w:val="003520C6"/>
    <w:rsid w:val="003D7D71"/>
    <w:rsid w:val="003E3CA6"/>
    <w:rsid w:val="005331A9"/>
    <w:rsid w:val="005F1BF9"/>
    <w:rsid w:val="007505F0"/>
    <w:rsid w:val="00865DF5"/>
    <w:rsid w:val="008F1D02"/>
    <w:rsid w:val="009D568F"/>
    <w:rsid w:val="00A01511"/>
    <w:rsid w:val="00A243DD"/>
    <w:rsid w:val="00A60036"/>
    <w:rsid w:val="00D4229E"/>
    <w:rsid w:val="00D86239"/>
    <w:rsid w:val="00E16397"/>
    <w:rsid w:val="00E17305"/>
    <w:rsid w:val="00E95DE2"/>
    <w:rsid w:val="00F44BCC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32">
    <w:name w:val="頁首3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33">
    <w:name w:val="標題3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4">
    <w:name w:val="無清單4"/>
    <w:next w:val="a2"/>
    <w:uiPriority w:val="99"/>
    <w:semiHidden/>
    <w:unhideWhenUsed/>
    <w:rsid w:val="00235966"/>
  </w:style>
  <w:style w:type="paragraph" w:customStyle="1" w:styleId="40">
    <w:name w:val="頁首4"/>
    <w:basedOn w:val="a"/>
    <w:rsid w:val="0023596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41">
    <w:name w:val="標題4"/>
    <w:basedOn w:val="a"/>
    <w:rsid w:val="0023596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No Spacing"/>
    <w:uiPriority w:val="1"/>
    <w:qFormat/>
    <w:rsid w:val="00E17305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49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18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93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39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2055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6</cp:revision>
  <dcterms:created xsi:type="dcterms:W3CDTF">2020-08-13T07:43:00Z</dcterms:created>
  <dcterms:modified xsi:type="dcterms:W3CDTF">2020-08-14T03:40:00Z</dcterms:modified>
</cp:coreProperties>
</file>