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E6775C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E6775C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E6775C" w:rsidRPr="00E6775C" w:rsidRDefault="00E6775C" w:rsidP="002D0042">
      <w:pPr>
        <w:pStyle w:val="a9"/>
        <w:ind w:firstLineChars="150" w:firstLine="360"/>
      </w:pPr>
      <w:r w:rsidRPr="00E6775C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0352"/>
        <w:gridCol w:w="1187"/>
        <w:gridCol w:w="1309"/>
        <w:gridCol w:w="1187"/>
      </w:tblGrid>
      <w:tr w:rsidR="00E6775C" w:rsidRPr="00E6775C" w:rsidTr="00E6775C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資產負債表</w:t>
            </w:r>
            <w:r w:rsidRPr="00E6775C">
              <w:t>Balance Sheet</w:t>
            </w:r>
          </w:p>
        </w:tc>
      </w:tr>
      <w:tr w:rsidR="00E6775C" w:rsidRPr="00E6775C" w:rsidTr="00E6775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代號</w:t>
            </w:r>
            <w:r w:rsidRPr="00E6775C"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會計項目</w:t>
            </w:r>
            <w:r w:rsidRPr="00E6775C"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2021</w:t>
            </w:r>
            <w:r w:rsidRPr="00E6775C">
              <w:rPr>
                <w:vanish/>
              </w:rPr>
              <w:t>年</w:t>
            </w:r>
            <w:r w:rsidRPr="00E6775C">
              <w:rPr>
                <w:vanish/>
              </w:rPr>
              <w:t>3</w:t>
            </w:r>
            <w:r w:rsidRPr="00E6775C">
              <w:rPr>
                <w:vanish/>
              </w:rPr>
              <w:t>月</w:t>
            </w:r>
            <w:r w:rsidRPr="00E6775C">
              <w:rPr>
                <w:vanish/>
              </w:rPr>
              <w:t>31</w:t>
            </w:r>
            <w:r w:rsidRPr="00E6775C">
              <w:rPr>
                <w:vanish/>
              </w:rPr>
              <w:t>日</w:t>
            </w:r>
            <w:r w:rsidRPr="00E6775C">
              <w:t>2021/3/31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2020</w:t>
            </w:r>
            <w:r w:rsidRPr="00E6775C">
              <w:rPr>
                <w:vanish/>
              </w:rPr>
              <w:t>年</w:t>
            </w:r>
            <w:r w:rsidRPr="00E6775C">
              <w:rPr>
                <w:vanish/>
              </w:rPr>
              <w:t>12</w:t>
            </w:r>
            <w:r w:rsidRPr="00E6775C">
              <w:rPr>
                <w:vanish/>
              </w:rPr>
              <w:t>月</w:t>
            </w:r>
            <w:r w:rsidRPr="00E6775C">
              <w:rPr>
                <w:vanish/>
              </w:rPr>
              <w:t>31</w:t>
            </w:r>
            <w:r w:rsidRPr="00E6775C">
              <w:rPr>
                <w:vanish/>
              </w:rPr>
              <w:t>日</w:t>
            </w:r>
            <w:r w:rsidRPr="00E6775C">
              <w:t>2020/12/31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>2020</w:t>
            </w:r>
            <w:r w:rsidRPr="00E6775C">
              <w:rPr>
                <w:vanish/>
              </w:rPr>
              <w:t>年</w:t>
            </w:r>
            <w:r w:rsidRPr="00E6775C">
              <w:rPr>
                <w:vanish/>
              </w:rPr>
              <w:t>3</w:t>
            </w:r>
            <w:r w:rsidRPr="00E6775C">
              <w:rPr>
                <w:vanish/>
              </w:rPr>
              <w:t>月</w:t>
            </w:r>
            <w:r w:rsidRPr="00E6775C">
              <w:rPr>
                <w:vanish/>
              </w:rPr>
              <w:t>31</w:t>
            </w:r>
            <w:r w:rsidRPr="00E6775C">
              <w:rPr>
                <w:vanish/>
              </w:rPr>
              <w:t>日</w:t>
            </w:r>
            <w:r w:rsidRPr="00E6775C">
              <w:t>2020/3/31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>資產</w:t>
            </w:r>
            <w:r w:rsidRPr="00E6775C">
              <w:rPr>
                <w:color w:val="33333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流動資產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現金及約當現金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38,612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35,504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應收票據淨額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2,669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4,131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2,910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應收帳款淨額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81,968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85,701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53,483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應收帳款－關係人淨額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25,238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19,522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43,874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存貨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175,715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184,996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171,962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其他流動資產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17,292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14,704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20,563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流動資產合計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341,494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362,460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328,296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非流動資產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透過其他綜合損益按公允價值衡量之金融資產－非流動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125,329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128,330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120,070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按攤銷後成本衡量之金融資產－非流動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 xml:space="preserve">Non-current financial assets at </w:t>
            </w:r>
            <w:proofErr w:type="spellStart"/>
            <w:r w:rsidRPr="00E6775C">
              <w:rPr>
                <w:color w:val="333333"/>
              </w:rPr>
              <w:t>amortised</w:t>
            </w:r>
            <w:proofErr w:type="spellEnd"/>
            <w:r w:rsidRPr="00E6775C">
              <w:rPr>
                <w:color w:val="333333"/>
              </w:rPr>
              <w:t xml:space="preserve"> cost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不動產、廠房及設備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428,144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425,016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175,685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使用權資產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1,274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遞延所得稅資產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26,471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25,157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24,091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其他非流動資產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6,916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12,243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9,359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lastRenderedPageBreak/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非流動資產合計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588,437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591,101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330,479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資產總計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929,931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658,775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>負債及權益</w:t>
            </w:r>
            <w:r w:rsidRPr="00E6775C">
              <w:rPr>
                <w:color w:val="33333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負債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流動負債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短期借款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73,000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62,000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合約負債－流動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3,812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5,501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應付帳款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25,600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26,252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27,799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其他應付款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32,508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51,977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27,524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租賃負債－流動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1,205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其他流動負債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???Other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20,835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19,956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19,365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流動負債合計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155,833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165,233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81,394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非流動負債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長期借款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172,812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177,500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51,562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遞延所得稅負債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17,318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17,974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11,925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租賃負債－非流動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其他非流動負債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17,255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20,613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16,390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非流動負債合計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207,385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216,087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79,955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負債總計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363,218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381,320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161,349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權益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歸屬於母公司業主之權益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股本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普通股股本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股本合計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資本公積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資本公積－發行溢價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29,841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資本公積－其他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資本公積合計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29,919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保留盈餘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未分配盈餘（或待彌補虧損）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12,340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6,963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保留盈餘合計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12,340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6,963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其他權益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透過其他綜合損益按公允價值衡量之金融資產未實現評價損益</w:t>
            </w:r>
            <w:r w:rsidRPr="00E6775C">
              <w:rPr>
                <w:color w:val="333333"/>
              </w:rPr>
              <w:t xml:space="preserve">　　　　</w:t>
            </w:r>
            <w:proofErr w:type="spellStart"/>
            <w:r w:rsidRPr="00E6775C">
              <w:rPr>
                <w:color w:val="333333"/>
              </w:rPr>
              <w:t>Unrealised</w:t>
            </w:r>
            <w:proofErr w:type="spellEnd"/>
            <w:r w:rsidRPr="00E6775C">
              <w:rPr>
                <w:color w:val="33333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40,019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36,809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　其他權益合計</w:t>
            </w:r>
            <w:r w:rsidRPr="00E6775C">
              <w:rPr>
                <w:color w:val="333333"/>
              </w:rPr>
              <w:t xml:space="preserve">　　　　</w:t>
            </w:r>
            <w:r w:rsidRPr="00E6775C">
              <w:rPr>
                <w:color w:val="33333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40,019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36,809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　歸屬於母公司業主之權益合計</w:t>
            </w:r>
            <w:r w:rsidRPr="00E6775C">
              <w:rPr>
                <w:color w:val="333333"/>
              </w:rPr>
              <w:t xml:space="preserve">　　　</w:t>
            </w:r>
            <w:r w:rsidRPr="00E6775C">
              <w:rPr>
                <w:color w:val="33333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506,013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497,426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非控制權益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60,700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　權益總額</w:t>
            </w:r>
            <w:r w:rsidRPr="00E6775C">
              <w:rPr>
                <w:color w:val="333333"/>
              </w:rPr>
              <w:t xml:space="preserve">　　</w:t>
            </w:r>
            <w:r w:rsidRPr="00E6775C">
              <w:rPr>
                <w:color w:val="33333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566,713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572,241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497,426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lastRenderedPageBreak/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負債及權益總計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929,931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658,775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待註銷股本股數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color w:val="33333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color w:val="333333"/>
              </w:rPr>
            </w:pPr>
            <w:r w:rsidRPr="00E6775C">
              <w:rPr>
                <w:vanish/>
                <w:color w:val="333333"/>
              </w:rPr>
              <w:t xml:space="preserve">　預收股款（權益項下）之約當發行股數</w:t>
            </w:r>
            <w:r w:rsidRPr="00E6775C">
              <w:rPr>
                <w:color w:val="333333"/>
              </w:rPr>
              <w:t xml:space="preserve">　</w:t>
            </w:r>
            <w:r w:rsidRPr="00E6775C">
              <w:rPr>
                <w:color w:val="33333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  <w:color w:val="333333"/>
              </w:rPr>
            </w:pPr>
            <w:r w:rsidRPr="00E6775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r w:rsidRPr="00E6775C">
              <w:rPr>
                <w:vanish/>
              </w:rPr>
              <w:t xml:space="preserve">　母公司暨子公司所持有之母公司庫藏股股數（單位：股）</w:t>
            </w:r>
            <w:r w:rsidRPr="00E6775C">
              <w:t xml:space="preserve">　</w:t>
            </w:r>
            <w:r w:rsidRPr="00E6775C"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</w:rPr>
            </w:pPr>
            <w:r w:rsidRPr="00E6775C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</w:rPr>
            </w:pPr>
            <w:r w:rsidRPr="00E6775C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rPr>
                <w:rFonts w:eastAsia="細明體"/>
              </w:rPr>
            </w:pPr>
            <w:r w:rsidRPr="00E6775C">
              <w:rPr>
                <w:rFonts w:eastAsia="細明體"/>
              </w:rPr>
              <w:t xml:space="preserve">0 </w:t>
            </w:r>
          </w:p>
        </w:tc>
      </w:tr>
    </w:tbl>
    <w:p w:rsidR="00E6775C" w:rsidRDefault="00E6775C" w:rsidP="00E6775C">
      <w:pPr>
        <w:ind w:firstLineChars="150" w:firstLine="345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E6775C" w:rsidRPr="00E6775C" w:rsidRDefault="00E6775C" w:rsidP="00E6775C">
      <w:pPr>
        <w:ind w:firstLineChars="150" w:firstLine="34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6775C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  <w:r w:rsidRPr="00E677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</w:t>
      </w:r>
      <w:r w:rsidRPr="00E6775C">
        <w:rPr>
          <w:rFonts w:ascii="Arial" w:eastAsia="新細明體" w:hAnsi="Arial" w:cs="Arial"/>
          <w:color w:val="000000"/>
          <w:kern w:val="0"/>
          <w:sz w:val="23"/>
          <w:szCs w:val="23"/>
        </w:rPr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0462"/>
        <w:gridCol w:w="1762"/>
        <w:gridCol w:w="1762"/>
      </w:tblGrid>
      <w:tr w:rsidR="00E6775C" w:rsidRPr="00E6775C" w:rsidTr="00E6775C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綜合損益表</w:t>
            </w:r>
            <w:r w:rsidRPr="00E6775C"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E6775C" w:rsidRPr="00E6775C" w:rsidTr="00E6775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代號</w:t>
            </w:r>
            <w:r w:rsidRPr="00E6775C"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會計項目</w:t>
            </w:r>
            <w:r w:rsidRPr="00E6775C"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2021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年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月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日至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3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月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31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日</w:t>
            </w:r>
            <w:r w:rsidRPr="00E6775C"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  <w:t>2021/1/1To3/31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2020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年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月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日至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3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月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31</w:t>
            </w:r>
            <w:r w:rsidRPr="00E6775C">
              <w:rPr>
                <w:rFonts w:ascii="Arial" w:eastAsia="新細明體" w:hAnsi="Arial" w:cs="Arial"/>
                <w:bCs/>
                <w:vanish/>
                <w:kern w:val="0"/>
                <w:sz w:val="23"/>
                <w:szCs w:val="23"/>
              </w:rPr>
              <w:t>日</w:t>
            </w:r>
            <w:r w:rsidRPr="00E6775C"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  <w:t>2020/1/1To3/31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營業收入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營業收入合計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107,367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104,489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營業成本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營業成本合計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88,419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68,935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18,948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35,554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營業毛利（毛損）淨額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18,948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35,554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營業費用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推銷費用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4,433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4,022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管理費用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11,424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10,868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研究發展費用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7,385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6,846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營業費用合計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23,242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21,736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營業利益（損失）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(4,294)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13,818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營業外收入及支出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利息收入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利息收入合計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其他收入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其他收入合計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1,711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其他利益及損失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其他利益及損失淨額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(150)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888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財務成本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財務成本淨額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營業外收入及支出合計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(202)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2,392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繼續營業單位稅前淨利（淨損）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所得稅費用（利益）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所得稅費用（利益）合計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(1,893)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(1,128)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繼續營業單位本期淨利（淨損）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(2,603)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(2,603)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其他綜合損益</w:t>
            </w: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淨額</w:t>
            </w: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不重分類至損益之項目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(3,001)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(25,375)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與不重分類之項目相關之所得稅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(76)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(5,097)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不重分類至損益之項目總額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其他綜合損益（淨額）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(5,528)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(2,940)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淨利（損）歸屬於：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母公司業主（淨利／損）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(3,086)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非控制權益（淨利／損）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綜合損益總額歸屬於：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母公司業主（綜合損益）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(6,011)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(2,940)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非控制權益（綜合損益）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基本每股盈餘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基本每股盈餘合計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稀釋每股盈餘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</w:tr>
      <w:tr w:rsidR="00E6775C" w:rsidRPr="00E6775C" w:rsidTr="00E6775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稀釋每股盈餘合計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E6775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75C" w:rsidRPr="00E6775C" w:rsidRDefault="00E6775C" w:rsidP="00E67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E6775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</w:tr>
    </w:tbl>
    <w:p w:rsidR="00E6775C" w:rsidRDefault="00E6775C" w:rsidP="00CF32F4"/>
    <w:p w:rsidR="006E748C" w:rsidRDefault="006E748C" w:rsidP="006E748C">
      <w:pPr>
        <w:ind w:firstLineChars="100" w:firstLine="240"/>
      </w:pPr>
    </w:p>
    <w:p w:rsidR="006E748C" w:rsidRDefault="006E748C" w:rsidP="006E748C">
      <w:pPr>
        <w:ind w:firstLineChars="100" w:firstLine="240"/>
      </w:pPr>
    </w:p>
    <w:p w:rsidR="006E748C" w:rsidRDefault="006E748C" w:rsidP="006E748C">
      <w:pPr>
        <w:ind w:firstLineChars="100" w:firstLine="240"/>
      </w:pPr>
    </w:p>
    <w:p w:rsidR="006E748C" w:rsidRPr="006E748C" w:rsidRDefault="006E748C" w:rsidP="002D0042">
      <w:pPr>
        <w:ind w:firstLineChars="150" w:firstLine="360"/>
      </w:pPr>
      <w:r w:rsidRPr="006E748C">
        <w:lastRenderedPageBreak/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855"/>
        <w:gridCol w:w="1903"/>
        <w:gridCol w:w="1903"/>
      </w:tblGrid>
      <w:tr w:rsidR="006E748C" w:rsidRPr="006E748C" w:rsidTr="006E748C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6E748C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6E748C" w:rsidRPr="006E748C" w:rsidTr="006E748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6E748C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6E748C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6E748C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2021/1/1To3/31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6E748C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6E748C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2020/1/1To3/31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營業活動之現金流量－間接法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繼續營業單位稅前淨利（淨損）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本期稅前淨利（淨損）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調整項目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收益費損項目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折舊費用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10,139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9,041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攤銷費用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100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(267)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399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利息費用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211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利息收入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收益費損項目合計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10,659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9,747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應收票據（增加）減少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1,462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(926)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應收帳款（增加）減少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5,969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(5,716)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(13,379)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存貨（增加）減少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9,281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(7,959)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其他流動資產（增加）減少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(2,588)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(6,336)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6,439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(22,631)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應付帳款增加（減少）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(652)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(352)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其他應付款增加（減少）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(15,127)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(8,970)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其他流動負債增加（減少）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(3,355)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(2,721)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(19,134)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(12,043)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(12,695)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(34,674)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調整項目合計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(2,036)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(24,927)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營運產生之現金流入（流出）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(6,532)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(8,717)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收取之利息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支付之利息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(685)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(211)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營業活動之淨現金流入（流出）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(7,213)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(8,924)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投資活動之現金流量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取得不動產、廠房及設備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(13,611)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(4,150)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存出保證金增加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1,096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預付設備款增加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(557)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投資活動之淨現金流入（流出）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(13,611)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(3,611)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籌資活動之現金流量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短期借款增加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償還長期借款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(4,688)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(4,688)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租賃本金償還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(282)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(406)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籌資活動之淨現金流入（流出）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6,030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(5,094)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本期現金及約當現金增加（減少）數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(14,794)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>(17,629)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期初現金及約當現金餘額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期末現金及約當現金餘額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38,612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35,504 </w:t>
            </w:r>
          </w:p>
        </w:tc>
      </w:tr>
      <w:tr w:rsidR="006E748C" w:rsidRPr="006E748C" w:rsidTr="006E748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資產負債</w:t>
            </w: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6E748C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帳列之現金及約當現金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6E748C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38,612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E748C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35,504 </w:t>
            </w:r>
          </w:p>
        </w:tc>
      </w:tr>
    </w:tbl>
    <w:p w:rsidR="00E6775C" w:rsidRDefault="00E6775C" w:rsidP="00CF32F4"/>
    <w:p w:rsidR="006E748C" w:rsidRPr="006E748C" w:rsidRDefault="006E748C" w:rsidP="002D0042">
      <w:pPr>
        <w:ind w:firstLineChars="150" w:firstLine="360"/>
      </w:pPr>
      <w:bookmarkStart w:id="0" w:name="_GoBack"/>
      <w:bookmarkEnd w:id="0"/>
      <w:r w:rsidRPr="006E748C">
        <w:t>Unit: NT$ thousands</w:t>
      </w:r>
    </w:p>
    <w:tbl>
      <w:tblPr>
        <w:tblW w:w="1569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443"/>
        <w:gridCol w:w="1085"/>
        <w:gridCol w:w="1031"/>
        <w:gridCol w:w="935"/>
        <w:gridCol w:w="1936"/>
        <w:gridCol w:w="1094"/>
        <w:gridCol w:w="2120"/>
        <w:gridCol w:w="1275"/>
        <w:gridCol w:w="1560"/>
        <w:gridCol w:w="1559"/>
        <w:gridCol w:w="969"/>
        <w:gridCol w:w="6"/>
      </w:tblGrid>
      <w:tr w:rsidR="006E748C" w:rsidRPr="006E748C" w:rsidTr="00BA12F8">
        <w:trPr>
          <w:trHeight w:val="338"/>
          <w:hidden/>
        </w:trPr>
        <w:tc>
          <w:tcPr>
            <w:tcW w:w="15696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48C" w:rsidRPr="006E748C" w:rsidRDefault="006E748C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當期權益變動表</w:t>
            </w:r>
            <w:r w:rsidRPr="006E748C">
              <w:t xml:space="preserve">Statements of Change in Equity </w:t>
            </w:r>
          </w:p>
        </w:tc>
      </w:tr>
      <w:tr w:rsidR="00BA12F8" w:rsidRPr="006E748C" w:rsidTr="00BA12F8">
        <w:trPr>
          <w:gridAfter w:val="1"/>
          <w:wAfter w:w="6" w:type="dxa"/>
          <w:trHeight w:val="410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3110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3100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3200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3350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3300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3420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3400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31XX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36XX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t>3XXX</w:t>
            </w:r>
          </w:p>
        </w:tc>
      </w:tr>
      <w:tr w:rsidR="00BA12F8" w:rsidRPr="006E748C" w:rsidTr="00BA12F8">
        <w:trPr>
          <w:gridAfter w:val="1"/>
          <w:wAfter w:w="6" w:type="dxa"/>
          <w:trHeight w:val="410"/>
        </w:trPr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普通股股本</w:t>
            </w:r>
            <w:r w:rsidRPr="006E748C">
              <w:t xml:space="preserve"> </w:t>
            </w:r>
            <w:r w:rsidRPr="006E748C">
              <w:t xml:space="preserve">　　　　　</w:t>
            </w:r>
            <w:r w:rsidRPr="006E748C">
              <w:t xml:space="preserve">Ordinary share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股本合計</w:t>
            </w:r>
            <w:r w:rsidRPr="006E748C">
              <w:t xml:space="preserve"> </w:t>
            </w:r>
            <w:r w:rsidRPr="006E748C">
              <w:t xml:space="preserve">　　　　</w:t>
            </w:r>
            <w:r w:rsidRPr="006E748C">
              <w:t xml:space="preserve">Total share capital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資本公積</w:t>
            </w:r>
            <w:r w:rsidRPr="006E748C">
              <w:t xml:space="preserve"> </w:t>
            </w:r>
            <w:r w:rsidRPr="006E748C">
              <w:t xml:space="preserve">　　　　</w:t>
            </w:r>
            <w:r w:rsidRPr="006E748C">
              <w:t xml:space="preserve">Capital surplus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未分配盈餘（或待彌補虧損）</w:t>
            </w:r>
            <w:r w:rsidRPr="006E748C">
              <w:t xml:space="preserve"> </w:t>
            </w:r>
            <w:r w:rsidRPr="006E748C">
              <w:t xml:space="preserve">　　　　　</w:t>
            </w:r>
            <w:r w:rsidRPr="006E748C">
              <w:t xml:space="preserve">Unappropriated retained earnings (accumulated deficit) 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保留盈餘合計</w:t>
            </w:r>
            <w:r w:rsidRPr="006E748C">
              <w:t xml:space="preserve"> </w:t>
            </w:r>
            <w:r w:rsidRPr="006E748C">
              <w:t xml:space="preserve">　　　　</w:t>
            </w:r>
            <w:r w:rsidRPr="006E748C">
              <w:t xml:space="preserve">Total retained earnings 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透過其他綜合損益按公允價值衡量之金融資產未實現評價</w:t>
            </w:r>
            <w:r w:rsidRPr="006E748C">
              <w:rPr>
                <w:vanish/>
              </w:rPr>
              <w:t>(</w:t>
            </w:r>
            <w:r w:rsidRPr="006E748C">
              <w:rPr>
                <w:vanish/>
              </w:rPr>
              <w:t>損</w:t>
            </w:r>
            <w:r w:rsidRPr="006E748C">
              <w:rPr>
                <w:vanish/>
              </w:rPr>
              <w:t>)</w:t>
            </w:r>
            <w:r w:rsidRPr="006E748C">
              <w:rPr>
                <w:vanish/>
              </w:rPr>
              <w:t>益</w:t>
            </w:r>
            <w:r w:rsidRPr="006E748C">
              <w:t xml:space="preserve"> </w:t>
            </w:r>
            <w:r w:rsidRPr="006E748C">
              <w:t xml:space="preserve">　　　　　</w:t>
            </w:r>
            <w:proofErr w:type="spellStart"/>
            <w:r w:rsidRPr="006E748C">
              <w:t>Unrealised</w:t>
            </w:r>
            <w:proofErr w:type="spellEnd"/>
            <w:r w:rsidRPr="006E748C">
              <w:t xml:space="preserve"> gains (losses) on financial assets measured at fair value through other comprehensive income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其他權益項目合計</w:t>
            </w:r>
            <w:r w:rsidRPr="006E748C">
              <w:t xml:space="preserve"> </w:t>
            </w:r>
            <w:r w:rsidRPr="006E748C">
              <w:t xml:space="preserve">　　　　</w:t>
            </w:r>
            <w:r w:rsidRPr="006E748C">
              <w:t xml:space="preserve">Total other equity interest 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歸屬於母公司業主之權益總計</w:t>
            </w:r>
            <w:r w:rsidRPr="006E748C">
              <w:t xml:space="preserve"> </w:t>
            </w:r>
            <w:r w:rsidRPr="006E748C">
              <w:t xml:space="preserve">　　　</w:t>
            </w:r>
            <w:r w:rsidRPr="006E748C">
              <w:t xml:space="preserve">Total equity attributable to owners of parent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非控制權益</w:t>
            </w:r>
            <w:r w:rsidRPr="006E748C">
              <w:t xml:space="preserve"> </w:t>
            </w:r>
            <w:r w:rsidRPr="006E748C">
              <w:t xml:space="preserve">　　　</w:t>
            </w:r>
            <w:r w:rsidRPr="006E748C">
              <w:t xml:space="preserve">Non-controlling interests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</w:pPr>
            <w:r w:rsidRPr="006E748C">
              <w:rPr>
                <w:vanish/>
              </w:rPr>
              <w:t>權益總額</w:t>
            </w:r>
            <w:r w:rsidRPr="006E748C">
              <w:t xml:space="preserve"> </w:t>
            </w:r>
            <w:r w:rsidRPr="006E748C">
              <w:t xml:space="preserve">　　</w:t>
            </w:r>
            <w:r w:rsidRPr="006E748C">
              <w:t xml:space="preserve">Total equity </w:t>
            </w:r>
          </w:p>
        </w:tc>
      </w:tr>
      <w:tr w:rsidR="00BA12F8" w:rsidRPr="006E748C" w:rsidTr="00BA12F8">
        <w:trPr>
          <w:gridAfter w:val="1"/>
          <w:wAfter w:w="6" w:type="dxa"/>
          <w:trHeight w:val="338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A1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期初餘額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Equity at </w:t>
            </w:r>
            <w:r w:rsidRPr="006E748C">
              <w:rPr>
                <w:color w:val="333333"/>
              </w:rPr>
              <w:lastRenderedPageBreak/>
              <w:t xml:space="preserve">beginning of period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lastRenderedPageBreak/>
              <w:t xml:space="preserve">423,735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572,241 </w:t>
            </w:r>
          </w:p>
        </w:tc>
      </w:tr>
      <w:tr w:rsidR="00BA12F8" w:rsidRPr="006E748C" w:rsidTr="00BA12F8">
        <w:trPr>
          <w:gridAfter w:val="1"/>
          <w:wAfter w:w="6" w:type="dxa"/>
          <w:trHeight w:val="676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D1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本期淨利（淨損）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Profit (loss)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(3,086)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(3,086)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(3,086)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483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(2,603)</w:t>
            </w:r>
          </w:p>
        </w:tc>
      </w:tr>
      <w:tr w:rsidR="00BA12F8" w:rsidRPr="006E748C" w:rsidTr="00BA12F8">
        <w:trPr>
          <w:gridAfter w:val="1"/>
          <w:wAfter w:w="6" w:type="dxa"/>
          <w:trHeight w:val="1039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D3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本期其他綜合損益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Other comprehensive income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(672)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(672)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(2,925)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(2,925)</w:t>
            </w:r>
          </w:p>
        </w:tc>
      </w:tr>
      <w:tr w:rsidR="00BA12F8" w:rsidRPr="006E748C" w:rsidTr="00BA12F8">
        <w:trPr>
          <w:gridAfter w:val="1"/>
          <w:wAfter w:w="6" w:type="dxa"/>
          <w:trHeight w:val="1027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D5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本期綜合損益總額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Total comprehensive income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(3,758)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(3,758)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(6,011)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483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(5,528)</w:t>
            </w:r>
          </w:p>
        </w:tc>
      </w:tr>
      <w:tr w:rsidR="00BA12F8" w:rsidRPr="006E748C" w:rsidTr="00BA12F8">
        <w:trPr>
          <w:gridAfter w:val="1"/>
          <w:wAfter w:w="6" w:type="dxa"/>
          <w:trHeight w:val="1365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Y1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權益增加</w:t>
            </w:r>
            <w:r w:rsidRPr="006E748C">
              <w:rPr>
                <w:vanish/>
                <w:color w:val="333333"/>
              </w:rPr>
              <w:t>(</w:t>
            </w:r>
            <w:r w:rsidRPr="006E748C">
              <w:rPr>
                <w:vanish/>
                <w:color w:val="333333"/>
              </w:rPr>
              <w:t>減少</w:t>
            </w:r>
            <w:r w:rsidRPr="006E748C">
              <w:rPr>
                <w:vanish/>
                <w:color w:val="333333"/>
              </w:rPr>
              <w:t>)</w:t>
            </w:r>
            <w:r w:rsidRPr="006E748C">
              <w:rPr>
                <w:vanish/>
                <w:color w:val="333333"/>
              </w:rPr>
              <w:t>總額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(3,758)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(3,758)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(2,253)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(6,011)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483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>(5,528)</w:t>
            </w:r>
          </w:p>
        </w:tc>
      </w:tr>
      <w:tr w:rsidR="00BA12F8" w:rsidRPr="006E748C" w:rsidTr="00BA12F8">
        <w:trPr>
          <w:gridAfter w:val="1"/>
          <w:wAfter w:w="6" w:type="dxa"/>
          <w:trHeight w:val="1027"/>
        </w:trPr>
        <w:tc>
          <w:tcPr>
            <w:tcW w:w="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color w:val="333333"/>
              </w:rPr>
              <w:t>Z1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color w:val="333333"/>
              </w:rPr>
            </w:pPr>
            <w:r w:rsidRPr="006E748C">
              <w:rPr>
                <w:vanish/>
                <w:color w:val="333333"/>
              </w:rPr>
              <w:t>期末餘額</w:t>
            </w:r>
            <w:r w:rsidRPr="006E748C">
              <w:rPr>
                <w:color w:val="333333"/>
              </w:rPr>
              <w:t xml:space="preserve"> </w:t>
            </w:r>
            <w:r w:rsidRPr="006E748C">
              <w:rPr>
                <w:color w:val="333333"/>
              </w:rPr>
              <w:t xml:space="preserve">　</w:t>
            </w:r>
            <w:r w:rsidRPr="006E748C">
              <w:rPr>
                <w:color w:val="333333"/>
              </w:rPr>
              <w:t xml:space="preserve">Equity at end of period </w:t>
            </w:r>
          </w:p>
        </w:tc>
        <w:tc>
          <w:tcPr>
            <w:tcW w:w="1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0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9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12,340 </w:t>
            </w:r>
          </w:p>
        </w:tc>
        <w:tc>
          <w:tcPr>
            <w:tcW w:w="10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12,340 </w:t>
            </w:r>
          </w:p>
        </w:tc>
        <w:tc>
          <w:tcPr>
            <w:tcW w:w="21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40,019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40,019 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506,013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60,700 </w:t>
            </w:r>
          </w:p>
        </w:tc>
        <w:tc>
          <w:tcPr>
            <w:tcW w:w="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2F8" w:rsidRPr="006E748C" w:rsidRDefault="00BA12F8" w:rsidP="006E748C">
            <w:pPr>
              <w:pStyle w:val="a9"/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6E748C">
              <w:rPr>
                <w:rFonts w:eastAsia="細明體"/>
                <w:color w:val="333333"/>
              </w:rPr>
              <w:t xml:space="preserve">566,713 </w:t>
            </w:r>
          </w:p>
        </w:tc>
      </w:tr>
    </w:tbl>
    <w:p w:rsidR="00E6775C" w:rsidRDefault="00E6775C" w:rsidP="00CF32F4"/>
    <w:p w:rsidR="006C0A79" w:rsidRDefault="006C0A79" w:rsidP="00CF32F4"/>
    <w:p w:rsidR="006C0A79" w:rsidRDefault="006C0A79" w:rsidP="00CF32F4"/>
    <w:p w:rsidR="006C0A79" w:rsidRDefault="006C0A79" w:rsidP="00CF32F4"/>
    <w:p w:rsidR="006C0A79" w:rsidRDefault="006C0A79" w:rsidP="00CF32F4"/>
    <w:p w:rsidR="006C0A79" w:rsidRDefault="006C0A79" w:rsidP="00CF32F4"/>
    <w:p w:rsidR="006C0A79" w:rsidRDefault="006C0A79" w:rsidP="00CF32F4"/>
    <w:p w:rsidR="006C0A79" w:rsidRDefault="006C0A79" w:rsidP="00CF32F4">
      <w:pPr>
        <w:rPr>
          <w:rFonts w:hint="eastAsia"/>
        </w:rPr>
      </w:pPr>
    </w:p>
    <w:p w:rsidR="006C0A79" w:rsidRPr="006C0A79" w:rsidRDefault="006C0A79" w:rsidP="006C0A79">
      <w:pPr>
        <w:ind w:firstLineChars="100" w:firstLine="240"/>
      </w:pPr>
      <w:r w:rsidRPr="006C0A79">
        <w:lastRenderedPageBreak/>
        <w:t>Unit: NT$ thousands</w:t>
      </w:r>
    </w:p>
    <w:tbl>
      <w:tblPr>
        <w:tblW w:w="15713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61"/>
        <w:gridCol w:w="1274"/>
        <w:gridCol w:w="1134"/>
        <w:gridCol w:w="1134"/>
        <w:gridCol w:w="1276"/>
        <w:gridCol w:w="1275"/>
        <w:gridCol w:w="1811"/>
        <w:gridCol w:w="1308"/>
        <w:gridCol w:w="1559"/>
        <w:gridCol w:w="1418"/>
        <w:gridCol w:w="1417"/>
      </w:tblGrid>
      <w:tr w:rsidR="006C0A79" w:rsidRPr="006C0A79" w:rsidTr="006C0A79">
        <w:trPr>
          <w:trHeight w:val="368"/>
          <w:hidden/>
        </w:trPr>
        <w:tc>
          <w:tcPr>
            <w:tcW w:w="15713" w:type="dxa"/>
            <w:gridSpan w:val="1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去年同期權益變動表</w:t>
            </w:r>
            <w:r w:rsidRPr="006C0A79">
              <w:t xml:space="preserve"> Last year's Statements of Change in Equity </w:t>
            </w:r>
          </w:p>
        </w:tc>
      </w:tr>
      <w:tr w:rsidR="006C0A79" w:rsidRPr="006C0A79" w:rsidTr="00282979">
        <w:trPr>
          <w:trHeight w:val="442"/>
        </w:trPr>
        <w:tc>
          <w:tcPr>
            <w:tcW w:w="2107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/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3110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3200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3350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3300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3420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3400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31XX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36XX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3XXX</w:t>
            </w:r>
          </w:p>
        </w:tc>
      </w:tr>
      <w:tr w:rsidR="006C0A79" w:rsidRPr="006C0A79" w:rsidTr="00282979">
        <w:trPr>
          <w:trHeight w:val="442"/>
        </w:trPr>
        <w:tc>
          <w:tcPr>
            <w:tcW w:w="2107" w:type="dxa"/>
            <w:gridSpan w:val="2"/>
            <w:vMerge/>
            <w:shd w:val="clear" w:color="auto" w:fill="auto"/>
            <w:vAlign w:val="center"/>
            <w:hideMark/>
          </w:tcPr>
          <w:p w:rsidR="006C0A79" w:rsidRPr="006C0A79" w:rsidRDefault="006C0A79" w:rsidP="006C0A79"/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普通股股本</w:t>
            </w:r>
            <w:r w:rsidRPr="006C0A79">
              <w:t xml:space="preserve"> </w:t>
            </w:r>
            <w:r w:rsidRPr="006C0A79">
              <w:t xml:space="preserve">　　　　　</w:t>
            </w:r>
            <w:r w:rsidRPr="006C0A79">
              <w:t xml:space="preserve">Ordinary share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股本合計</w:t>
            </w:r>
            <w:r w:rsidRPr="006C0A79">
              <w:t xml:space="preserve"> </w:t>
            </w:r>
            <w:r w:rsidRPr="006C0A79">
              <w:t xml:space="preserve">　　　　</w:t>
            </w:r>
            <w:r w:rsidRPr="006C0A79">
              <w:t xml:space="preserve">Total share capital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資本公積</w:t>
            </w:r>
            <w:r w:rsidRPr="006C0A79">
              <w:t xml:space="preserve"> </w:t>
            </w:r>
            <w:r w:rsidRPr="006C0A79">
              <w:t xml:space="preserve">　　　　</w:t>
            </w:r>
            <w:r w:rsidRPr="006C0A79">
              <w:t xml:space="preserve">Capital surplus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未分配盈餘（或待彌補虧損）</w:t>
            </w:r>
            <w:r w:rsidRPr="006C0A79">
              <w:t xml:space="preserve"> </w:t>
            </w:r>
            <w:r w:rsidRPr="006C0A79">
              <w:t xml:space="preserve">　　　　　</w:t>
            </w:r>
            <w:r w:rsidRPr="006C0A79">
              <w:t xml:space="preserve">Unappropriated retained earnings (accumulated deficit)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保留盈餘合計</w:t>
            </w:r>
            <w:r w:rsidRPr="006C0A79">
              <w:t xml:space="preserve"> </w:t>
            </w:r>
            <w:r w:rsidRPr="006C0A79">
              <w:t xml:space="preserve">　　　　</w:t>
            </w:r>
            <w:r w:rsidRPr="006C0A79">
              <w:t xml:space="preserve">Total retained earnings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透過其他綜合損益按公允價值衡量之金融資產未實現評價</w:t>
            </w:r>
            <w:r w:rsidRPr="006C0A79">
              <w:rPr>
                <w:vanish/>
              </w:rPr>
              <w:t>(</w:t>
            </w:r>
            <w:r w:rsidRPr="006C0A79">
              <w:rPr>
                <w:vanish/>
              </w:rPr>
              <w:t>損</w:t>
            </w:r>
            <w:r w:rsidRPr="006C0A79">
              <w:rPr>
                <w:vanish/>
              </w:rPr>
              <w:t>)</w:t>
            </w:r>
            <w:r w:rsidRPr="006C0A79">
              <w:rPr>
                <w:vanish/>
              </w:rPr>
              <w:t>益</w:t>
            </w:r>
            <w:r w:rsidRPr="006C0A79">
              <w:t xml:space="preserve"> </w:t>
            </w:r>
            <w:r w:rsidRPr="006C0A79">
              <w:t xml:space="preserve">　　　　　</w:t>
            </w:r>
            <w:proofErr w:type="spellStart"/>
            <w:r w:rsidRPr="006C0A79">
              <w:t>Unrealised</w:t>
            </w:r>
            <w:proofErr w:type="spellEnd"/>
            <w:r w:rsidRPr="006C0A79">
              <w:t xml:space="preserve"> gains (losses) on financial assets measured at fair value through other comprehensive income 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其他權益項目合計</w:t>
            </w:r>
            <w:r w:rsidRPr="006C0A79">
              <w:t xml:space="preserve"> </w:t>
            </w:r>
            <w:r w:rsidRPr="006C0A79">
              <w:t xml:space="preserve">　　　　</w:t>
            </w:r>
            <w:r w:rsidRPr="006C0A79">
              <w:t xml:space="preserve">Total other equity interest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歸屬於母公司業主之權益總計</w:t>
            </w:r>
            <w:r w:rsidRPr="006C0A79">
              <w:t xml:space="preserve"> </w:t>
            </w:r>
            <w:r w:rsidRPr="006C0A79">
              <w:t xml:space="preserve">　　　</w:t>
            </w:r>
            <w:r w:rsidRPr="006C0A79">
              <w:t xml:space="preserve">Total equity attributable to owners of parent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非控制權益</w:t>
            </w:r>
            <w:r w:rsidRPr="006C0A79">
              <w:t xml:space="preserve"> </w:t>
            </w:r>
            <w:r w:rsidRPr="006C0A79">
              <w:t xml:space="preserve">　　　</w:t>
            </w:r>
            <w:r w:rsidRPr="006C0A79">
              <w:t xml:space="preserve">Non-controlling interests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權益總額</w:t>
            </w:r>
            <w:r w:rsidRPr="006C0A79">
              <w:t xml:space="preserve"> </w:t>
            </w:r>
            <w:r w:rsidRPr="006C0A79">
              <w:t xml:space="preserve">　　</w:t>
            </w:r>
            <w:r w:rsidRPr="006C0A79">
              <w:t xml:space="preserve">Total equity </w:t>
            </w:r>
          </w:p>
        </w:tc>
      </w:tr>
      <w:tr w:rsidR="006C0A79" w:rsidRPr="006C0A79" w:rsidTr="00282979">
        <w:trPr>
          <w:trHeight w:val="1092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A1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期初餘額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Equity at beginning of period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29,919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(10,375)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(10,375)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57,087 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57,087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500,366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500,366 </w:t>
            </w:r>
          </w:p>
        </w:tc>
      </w:tr>
      <w:tr w:rsidR="006C0A79" w:rsidRPr="006C0A79" w:rsidTr="00282979">
        <w:trPr>
          <w:trHeight w:val="368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D1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本期淨利（淨損）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Profit (loss)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</w:tr>
      <w:tr w:rsidR="006C0A79" w:rsidRPr="006C0A79" w:rsidTr="00282979">
        <w:trPr>
          <w:trHeight w:val="1104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D3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本期其他綜合損益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Other comprehensive income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</w:tr>
      <w:tr w:rsidR="006C0A79" w:rsidRPr="006C0A79" w:rsidTr="00282979">
        <w:trPr>
          <w:trHeight w:val="1092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D5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本期綜合損益總額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Total comprehensive income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(2,940)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(2,940)</w:t>
            </w:r>
          </w:p>
        </w:tc>
      </w:tr>
      <w:tr w:rsidR="006C0A79" w:rsidRPr="006C0A79" w:rsidTr="00282979">
        <w:trPr>
          <w:trHeight w:val="1472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lastRenderedPageBreak/>
              <w:t>Y1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權益增加</w:t>
            </w:r>
            <w:r w:rsidRPr="006C0A79">
              <w:rPr>
                <w:vanish/>
              </w:rPr>
              <w:t>(</w:t>
            </w:r>
            <w:r w:rsidRPr="006C0A79">
              <w:rPr>
                <w:vanish/>
              </w:rPr>
              <w:t>減少</w:t>
            </w:r>
            <w:r w:rsidRPr="006C0A79">
              <w:rPr>
                <w:vanish/>
              </w:rPr>
              <w:t>)</w:t>
            </w:r>
            <w:r w:rsidRPr="006C0A79">
              <w:rPr>
                <w:vanish/>
              </w:rPr>
              <w:t>總額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Total increase (decrease) in equity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17,338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(20,278)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(2,940)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>(2,940)</w:t>
            </w:r>
          </w:p>
        </w:tc>
      </w:tr>
      <w:tr w:rsidR="006C0A79" w:rsidRPr="006C0A79" w:rsidTr="00282979">
        <w:trPr>
          <w:trHeight w:val="724"/>
        </w:trPr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t>Z1</w:t>
            </w:r>
          </w:p>
        </w:tc>
        <w:tc>
          <w:tcPr>
            <w:tcW w:w="1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r w:rsidRPr="006C0A79">
              <w:rPr>
                <w:vanish/>
              </w:rPr>
              <w:t>期末餘額</w:t>
            </w:r>
            <w:r w:rsidRPr="006C0A79">
              <w:t xml:space="preserve"> </w:t>
            </w:r>
            <w:r w:rsidRPr="006C0A79">
              <w:t xml:space="preserve">　</w:t>
            </w:r>
            <w:r w:rsidRPr="006C0A79">
              <w:t xml:space="preserve">Equity at end of period 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29,919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6,963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6,963 </w:t>
            </w:r>
          </w:p>
        </w:tc>
        <w:tc>
          <w:tcPr>
            <w:tcW w:w="18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36,809 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36,809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497,426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A79" w:rsidRPr="006C0A79" w:rsidRDefault="006C0A79" w:rsidP="006C0A79">
            <w:pPr>
              <w:rPr>
                <w:rFonts w:eastAsia="細明體"/>
              </w:rPr>
            </w:pPr>
            <w:r w:rsidRPr="006C0A79">
              <w:rPr>
                <w:rFonts w:eastAsia="細明體"/>
              </w:rPr>
              <w:t xml:space="preserve">497,426 </w:t>
            </w:r>
          </w:p>
        </w:tc>
      </w:tr>
    </w:tbl>
    <w:p w:rsidR="006C0A79" w:rsidRDefault="006C0A79" w:rsidP="00CF32F4">
      <w:pPr>
        <w:rPr>
          <w:rFonts w:hint="eastAsia"/>
        </w:rPr>
      </w:pPr>
    </w:p>
    <w:sectPr w:rsidR="006C0A79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33" w:rsidRDefault="001D6D33" w:rsidP="00A60036">
      <w:r>
        <w:separator/>
      </w:r>
    </w:p>
  </w:endnote>
  <w:endnote w:type="continuationSeparator" w:id="0">
    <w:p w:rsidR="001D6D33" w:rsidRDefault="001D6D33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33" w:rsidRDefault="001D6D33" w:rsidP="00A60036">
      <w:r>
        <w:separator/>
      </w:r>
    </w:p>
  </w:footnote>
  <w:footnote w:type="continuationSeparator" w:id="0">
    <w:p w:rsidR="001D6D33" w:rsidRDefault="001D6D33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170610"/>
    <w:rsid w:val="001949AE"/>
    <w:rsid w:val="001B4F65"/>
    <w:rsid w:val="001D6D33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500E4E"/>
    <w:rsid w:val="00510D2D"/>
    <w:rsid w:val="005331A9"/>
    <w:rsid w:val="005F1BF9"/>
    <w:rsid w:val="006C0A79"/>
    <w:rsid w:val="006E748C"/>
    <w:rsid w:val="007505F0"/>
    <w:rsid w:val="00815741"/>
    <w:rsid w:val="00865DF5"/>
    <w:rsid w:val="008F1D02"/>
    <w:rsid w:val="00925364"/>
    <w:rsid w:val="009D568F"/>
    <w:rsid w:val="00A01511"/>
    <w:rsid w:val="00A243DD"/>
    <w:rsid w:val="00A60036"/>
    <w:rsid w:val="00A67067"/>
    <w:rsid w:val="00B15301"/>
    <w:rsid w:val="00B26D45"/>
    <w:rsid w:val="00BA12F8"/>
    <w:rsid w:val="00C5142A"/>
    <w:rsid w:val="00C6027C"/>
    <w:rsid w:val="00CE2887"/>
    <w:rsid w:val="00CF32F4"/>
    <w:rsid w:val="00D4229E"/>
    <w:rsid w:val="00D86239"/>
    <w:rsid w:val="00DD0598"/>
    <w:rsid w:val="00E16397"/>
    <w:rsid w:val="00E17305"/>
    <w:rsid w:val="00E207CB"/>
    <w:rsid w:val="00E6775C"/>
    <w:rsid w:val="00E95DE2"/>
    <w:rsid w:val="00EA1D88"/>
    <w:rsid w:val="00F0214F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0B4C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75BB-03DB-4A00-B0EC-E5D658A4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3</cp:revision>
  <dcterms:created xsi:type="dcterms:W3CDTF">2021-07-14T07:17:00Z</dcterms:created>
  <dcterms:modified xsi:type="dcterms:W3CDTF">2021-07-14T07:54:00Z</dcterms:modified>
</cp:coreProperties>
</file>