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E" w:rsidRDefault="003E3CA6" w:rsidP="00081D3E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="00E6775C">
        <w:rPr>
          <w:rFonts w:ascii="Arial" w:hAnsi="Arial" w:cs="Arial"/>
          <w:sz w:val="23"/>
          <w:szCs w:val="23"/>
          <w:bdr w:val="single" w:sz="4" w:space="0" w:color="auto"/>
        </w:rPr>
        <w:t>1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E71195">
        <w:rPr>
          <w:rFonts w:ascii="Arial" w:hAnsi="Arial" w:cs="Arial"/>
          <w:sz w:val="23"/>
          <w:szCs w:val="23"/>
          <w:bdr w:val="single" w:sz="4" w:space="0" w:color="auto"/>
        </w:rPr>
        <w:t>3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E80823" w:rsidRPr="00E80823" w:rsidRDefault="00E80823" w:rsidP="00E80823">
      <w:pPr>
        <w:widowControl/>
        <w:ind w:firstLineChars="50" w:firstLine="115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80823">
        <w:rPr>
          <w:rFonts w:ascii="Arial" w:eastAsia="新細明體" w:hAnsi="Arial" w:cs="Arial"/>
          <w:color w:val="000000"/>
          <w:kern w:val="0"/>
          <w:sz w:val="23"/>
          <w:szCs w:val="23"/>
        </w:rPr>
        <w:t>Unit: Thousand New Taiwan Dollars</w:t>
      </w:r>
    </w:p>
    <w:tbl>
      <w:tblPr>
        <w:tblW w:w="14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8388"/>
        <w:gridCol w:w="1744"/>
        <w:gridCol w:w="1680"/>
        <w:gridCol w:w="1744"/>
      </w:tblGrid>
      <w:tr w:rsidR="00E80823" w:rsidRPr="00E80823" w:rsidTr="00E80823">
        <w:trPr>
          <w:trHeight w:val="360"/>
          <w:jc w:val="center"/>
        </w:trPr>
        <w:tc>
          <w:tcPr>
            <w:tcW w:w="14761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E80823">
            <w:pPr>
              <w:rPr>
                <w:color w:val="000000" w:themeColor="text1"/>
              </w:rPr>
            </w:pPr>
            <w:r w:rsidRPr="00BD530D">
              <w:rPr>
                <w:color w:val="000000" w:themeColor="text1"/>
              </w:rPr>
              <w:t>Balance sheet</w:t>
            </w:r>
          </w:p>
        </w:tc>
      </w:tr>
      <w:tr w:rsidR="00E80823" w:rsidRPr="00E80823" w:rsidTr="00E80823">
        <w:trPr>
          <w:trHeight w:val="704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165C98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Codename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E80823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Accounting items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E80823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September 30, 2021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E80823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December 31, 2020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E80823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September 30, 2020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165C98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64,838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53,406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44,559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Net notes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1,269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4,131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5,051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Net accounts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40,599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85,701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78,250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Accounts receivable-related party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35,854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19,522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33,590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130X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stock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182,442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184,996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194,919 </w:t>
            </w:r>
          </w:p>
        </w:tc>
      </w:tr>
      <w:tr w:rsidR="00E80823" w:rsidRPr="00E80823" w:rsidTr="00E80823">
        <w:trPr>
          <w:trHeight w:val="344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22,372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14,704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12,411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Total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347,374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362,460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368,780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72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Financial assets measured at fair value through other comprehensive gains and losses-non-current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137,831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128,330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194,150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1535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Financial assets measured at amortized cost-non-current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80823" w:rsidRPr="00E80823" w:rsidTr="00E80823">
        <w:trPr>
          <w:trHeight w:val="344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Real estate,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420,185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425,016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422,483 </w:t>
            </w:r>
          </w:p>
        </w:tc>
      </w:tr>
      <w:tr w:rsidR="00E80823" w:rsidRPr="00E80823" w:rsidTr="00E80823">
        <w:trPr>
          <w:trHeight w:val="375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1755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Right-of-use asset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2,372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633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lastRenderedPageBreak/>
              <w:t>1840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Deferred tax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25,838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25,157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23,527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6,704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12,243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8,630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Total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594,430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591,101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649,423 </w:t>
            </w:r>
          </w:p>
        </w:tc>
      </w:tr>
      <w:tr w:rsidR="00E80823" w:rsidRPr="00E80823" w:rsidTr="00E80823">
        <w:trPr>
          <w:trHeight w:val="344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1XXX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total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941,804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953,561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1,018,203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Debt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short-term loan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28,000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62,000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67,043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Contract liabilities-current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4,124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5,701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28,960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26,252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28,912 </w:t>
            </w:r>
          </w:p>
        </w:tc>
      </w:tr>
      <w:tr w:rsidR="00E80823" w:rsidRPr="00E80823" w:rsidTr="00E80823">
        <w:trPr>
          <w:trHeight w:val="344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41,192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51,977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45,462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Current income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Lease liabilities-current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1,170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640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19,501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19,956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19,902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123,147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165,233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167,660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2540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Long term loan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208,437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177,500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182,187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2570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Deferred income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18,583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17,974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18,810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2580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Lease liabilities-non-current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1,206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lastRenderedPageBreak/>
              <w:t>2600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Other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16,569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20,613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15,778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Total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244,795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216,087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216,775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2XXX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Total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367,942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381,320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384,435 </w:t>
            </w:r>
          </w:p>
        </w:tc>
      </w:tr>
      <w:tr w:rsidR="00E80823" w:rsidRPr="00E80823" w:rsidTr="00E80823">
        <w:trPr>
          <w:trHeight w:val="344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rights and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Equity attributable to owners of the parent company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Common stock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Capital reserve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Capital reserve-issue premium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29,841 </w:t>
            </w:r>
          </w:p>
        </w:tc>
      </w:tr>
      <w:tr w:rsidR="00E80823" w:rsidRPr="00E80823" w:rsidTr="00E80823">
        <w:trPr>
          <w:trHeight w:val="344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Capital reserve-other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78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Total capital reserve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29,919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Retained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Statutory surplus reserve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1,610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Undistributed surplus (or loss to be made up)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13,482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12,875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15,092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12,875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Other rights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23" w:rsidRPr="00E80823" w:rsidTr="00E80823">
        <w:trPr>
          <w:trHeight w:val="72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Unrealized appraisal gains and losses of financial assets measured at fair value through other comprehensive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44,598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106,626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lastRenderedPageBreak/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　</w:t>
            </w:r>
            <w:r w:rsidRPr="00E80823">
              <w:rPr>
                <w:color w:val="333333"/>
                <w:szCs w:val="24"/>
              </w:rPr>
              <w:t>Total other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44,598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106,626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　</w:t>
            </w:r>
            <w:r w:rsidRPr="00E80823">
              <w:rPr>
                <w:color w:val="333333"/>
                <w:szCs w:val="24"/>
              </w:rPr>
              <w:t>Total equity attributable to owners of the parent company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513,344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512,024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573,155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36XX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60,518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60,217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60,613 </w:t>
            </w:r>
          </w:p>
        </w:tc>
      </w:tr>
      <w:tr w:rsidR="00E80823" w:rsidRPr="00E80823" w:rsidTr="00E80823">
        <w:trPr>
          <w:trHeight w:val="344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573,862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572,241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633,768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3X2X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Total 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941,804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953,561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1,018,203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3997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Number of shares to be cancelled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80823" w:rsidRPr="00E80823" w:rsidTr="00E80823">
        <w:trPr>
          <w:trHeight w:val="36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3998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The number of shares to be issued in advance (under equity)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</w:tr>
      <w:tr w:rsidR="00E80823" w:rsidRPr="00E80823" w:rsidTr="00E80823">
        <w:trPr>
          <w:trHeight w:val="720"/>
          <w:jc w:val="center"/>
        </w:trPr>
        <w:tc>
          <w:tcPr>
            <w:tcW w:w="12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3999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The number of treasury shares of the parent company held by the parent company and its subsidiaries (unit: share)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 </w:t>
            </w:r>
          </w:p>
        </w:tc>
      </w:tr>
    </w:tbl>
    <w:p w:rsidR="00E80823" w:rsidRPr="00E80823" w:rsidRDefault="00E80823" w:rsidP="00E8082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80823" w:rsidRPr="00E80823" w:rsidRDefault="00E80823" w:rsidP="00E80823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80823">
        <w:rPr>
          <w:rFonts w:ascii="Arial" w:eastAsia="新細明體" w:hAnsi="Arial" w:cs="Arial"/>
          <w:color w:val="000000"/>
          <w:kern w:val="0"/>
          <w:sz w:val="23"/>
          <w:szCs w:val="23"/>
        </w:rPr>
        <w:t>Unit: New Taiwan Dollar Thousand Earnings per Share Unit: New Taiwan Dollar</w:t>
      </w:r>
    </w:p>
    <w:tbl>
      <w:tblPr>
        <w:tblW w:w="15528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6484"/>
        <w:gridCol w:w="1887"/>
        <w:gridCol w:w="1887"/>
        <w:gridCol w:w="2033"/>
        <w:gridCol w:w="2033"/>
      </w:tblGrid>
      <w:tr w:rsidR="00E80823" w:rsidRPr="00E80823" w:rsidTr="00BD530D">
        <w:trPr>
          <w:trHeight w:val="352"/>
        </w:trPr>
        <w:tc>
          <w:tcPr>
            <w:tcW w:w="0" w:type="auto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r w:rsidRPr="00E80823">
              <w:t>Consolidated income statement</w:t>
            </w:r>
          </w:p>
        </w:tc>
      </w:tr>
      <w:tr w:rsidR="00BD530D" w:rsidRPr="00E80823" w:rsidTr="00BD530D">
        <w:trPr>
          <w:trHeight w:val="104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BD530D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Codename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BD530D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Accounting items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BD530D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July 1 to September 30, 2021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BD530D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July 1 to September 30, 2020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BD530D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January 1 to September 30, 2021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BD530D" w:rsidRDefault="00E80823" w:rsidP="00BD530D">
            <w:pPr>
              <w:rPr>
                <w:color w:val="000000" w:themeColor="text1"/>
                <w:szCs w:val="24"/>
              </w:rPr>
            </w:pPr>
            <w:r w:rsidRPr="00BD530D">
              <w:rPr>
                <w:color w:val="000000" w:themeColor="text1"/>
                <w:szCs w:val="24"/>
              </w:rPr>
              <w:t>January 1 to September 30, 2020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165C98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Operating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Total operating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88,627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111,852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333,048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336,501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Total 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70,316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86,676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256,631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238,854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5900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Operating gross profit (gross 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18,311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25,176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76,417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97,647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5950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Operating gross profit (gross loss)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18,311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25,176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76,417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97,647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6100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Marketing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5,818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5,331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15,100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15,558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6200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Management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10,508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13,702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34,924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38,227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6300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Research and development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7,731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9,262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23,672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23,618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6000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Total 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24,057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28,295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73,696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77,403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6900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Operating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(5,746)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(3,119)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2,721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20,244 </w:t>
            </w:r>
          </w:p>
        </w:tc>
      </w:tr>
      <w:tr w:rsidR="00BD530D" w:rsidRPr="00E80823" w:rsidTr="00BD530D">
        <w:trPr>
          <w:trHeight w:val="340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Total 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40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7010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Total 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1,332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827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4,263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5,355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Other benefits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7020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Other benefits and losses,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(45)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(1,789)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(2,353)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(3,031)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Financial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7050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Finance costs,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1,988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1,233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7000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Total 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633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(1,593)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(44)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1,131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7900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Continuing business unit's pre-tax net profit (net 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(5,113)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(4,712)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2,677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21,375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Income tax expense (benefits)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7950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Total income tax expense (benefits)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(1,015)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(1,664)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(1,441)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lastRenderedPageBreak/>
              <w:t>8000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Continuing business unit’s current net profit (net 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(5,342)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(3,697)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4,341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22,816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Net profit for the period (net 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(5,342)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(3,697)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4,341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22,816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Other comprehensive income (net)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Items not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104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8316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Unrealized appraisal gains and losses of equity instrument investments measured at fair value through other comprehensive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3,142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24,458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3,310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48,705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8349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Income tax related to items that are not reclassified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1,214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(1,393)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1,793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(834)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　</w:t>
            </w:r>
            <w:r w:rsidRPr="00E80823">
              <w:rPr>
                <w:color w:val="333333"/>
                <w:szCs w:val="24"/>
              </w:rPr>
              <w:t>Total amount of items not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1,928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25,851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1,517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49,539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Other comprehensive income (net)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1,928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25,851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1,517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49,539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Total comprehensive profit and loss for the current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(3,414)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22,154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5,858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72,355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The net profit (loss) is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8610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Owners of the parent company (net profit/loss)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(5,246)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(3,683)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4,040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23,250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8620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Non-controlling interests (net profit/loss)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(96)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(434)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The total comprehensive profit and loss is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40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Owners of the parent company (comprehensive profit and 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(3,318)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22,168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5,557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72,789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8720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Non-controlling interests (comprehensive profit and 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(96)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301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(434)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9710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Net profit (net 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(0.12)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(0.09)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0.55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lastRenderedPageBreak/>
              <w:t>9750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Total 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(0.12)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(0.09)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0.55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9810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Net profit (net 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(0.12)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(0.09)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0.55 </w:t>
            </w:r>
          </w:p>
        </w:tc>
      </w:tr>
      <w:tr w:rsidR="00BD530D" w:rsidRPr="00E80823" w:rsidTr="00BD530D">
        <w:trPr>
          <w:trHeight w:val="3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>9850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color w:val="333333"/>
                <w:szCs w:val="24"/>
              </w:rPr>
            </w:pPr>
            <w:r w:rsidRPr="00E80823">
              <w:rPr>
                <w:color w:val="333333"/>
                <w:szCs w:val="24"/>
              </w:rPr>
              <w:t xml:space="preserve">　</w:t>
            </w:r>
            <w:r w:rsidRPr="00E80823">
              <w:rPr>
                <w:color w:val="333333"/>
                <w:szCs w:val="24"/>
              </w:rPr>
              <w:t>Total 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(0.12)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>(0.09)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BD530D">
            <w:pPr>
              <w:rPr>
                <w:rFonts w:eastAsia="細明體"/>
                <w:color w:val="333333"/>
              </w:rPr>
            </w:pPr>
            <w:r w:rsidRPr="00E80823">
              <w:rPr>
                <w:rFonts w:eastAsia="細明體"/>
                <w:color w:val="333333"/>
              </w:rPr>
              <w:t xml:space="preserve">0.55 </w:t>
            </w:r>
          </w:p>
        </w:tc>
      </w:tr>
    </w:tbl>
    <w:p w:rsidR="00E80823" w:rsidRPr="00E80823" w:rsidRDefault="00E80823" w:rsidP="00E8082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80823" w:rsidRPr="00E80823" w:rsidRDefault="00E80823" w:rsidP="00E80823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80823">
        <w:rPr>
          <w:rFonts w:ascii="Arial" w:eastAsia="新細明體" w:hAnsi="Arial" w:cs="Arial"/>
          <w:color w:val="000000"/>
          <w:kern w:val="0"/>
          <w:sz w:val="23"/>
          <w:szCs w:val="23"/>
        </w:rPr>
        <w:t>Unit: Thousand New Taiwan Dollars</w:t>
      </w:r>
    </w:p>
    <w:tbl>
      <w:tblPr>
        <w:tblW w:w="15453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8319"/>
        <w:gridCol w:w="2878"/>
        <w:gridCol w:w="2878"/>
      </w:tblGrid>
      <w:tr w:rsidR="00BD530D" w:rsidRPr="00E80823" w:rsidTr="00BD530D">
        <w:trPr>
          <w:trHeight w:val="362"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Cash flow statement</w:t>
            </w:r>
          </w:p>
        </w:tc>
      </w:tr>
      <w:tr w:rsidR="00BD530D" w:rsidRPr="00BD530D" w:rsidTr="00BD530D">
        <w:trPr>
          <w:trHeight w:val="72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Codename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Accounting items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January 1 to September 30, 2021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January 1 to September 30, 2020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Cash flow from operating activities-indirect method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530D" w:rsidRPr="00BD530D" w:rsidTr="00BD530D">
        <w:trPr>
          <w:trHeight w:val="350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A00010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Continuing business unit's pre-tax net profit (net 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2,677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21,375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Net profit before tax for the current period (net 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2,677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21,375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Adjustment item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Income expense item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A20100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Depreciation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29,851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27,496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A20200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Amortization fee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306 </w:t>
            </w:r>
          </w:p>
        </w:tc>
      </w:tr>
      <w:tr w:rsidR="00BD530D" w:rsidRPr="00BD530D" w:rsidTr="00BD530D">
        <w:trPr>
          <w:trHeight w:val="72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A20300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The number of expected credit impairment losses (profits)/the number of bad debt expenses (returning 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(489)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480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A20900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Interest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1,988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1,233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A21200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(40)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lastRenderedPageBreak/>
              <w:t>A22500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Disposal and scrapping of real property, plant and equipment losses (profits)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A29900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other projects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(2,793)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A20010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Total income expense items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31,645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26,682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Changes in assets/liabilities related to business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Net changes in assets related to business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A31130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(Increase) decrease in bills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2,862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(1,254)</w:t>
            </w:r>
          </w:p>
        </w:tc>
      </w:tr>
      <w:tr w:rsidR="00BD530D" w:rsidRPr="00BD530D" w:rsidTr="00BD530D">
        <w:trPr>
          <w:trHeight w:val="350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(Increase) decrease in accounts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45,591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(9,876)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A31160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Accounts receivable-related parties (increase) decrease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(16,332)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(3,095)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Inventory (increase) decrease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2,554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(28,655)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A31240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(Increase) decrease in 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(7,668)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2,589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A31000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Total net changes in assets related to business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27,007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(40,291)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Net changes in liabilities related to operating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Increase (decrease) in bills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(397)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Increase (decrease) in 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2,708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(3,963)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A32180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Increase (decrease) in 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(6,671)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4,384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Increase (decrease) in 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(5,053)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(4,508)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A32000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Total net changes in liabilities related to operating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(9,016)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(4,484)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Total net changes in assets and liabilities related to business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17,991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(44,775)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lastRenderedPageBreak/>
              <w:t>A20000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Total adjustment items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49,636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(18,093)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A33000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Cash inflow (outflow)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52,313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3,282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Interest charged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40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A33300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Interest paid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(1,988)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(1,233)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YYYY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Net cash inflow (outflow) from operating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50,359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2,089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Cash flow from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B00100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Obtain financial assets measured at fair value through profit and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(6,191)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BD530D" w:rsidRPr="00BD530D" w:rsidTr="00BD530D">
        <w:trPr>
          <w:trHeight w:val="350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B02200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Acquisition of subsidiaries (net of cash obtained)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(136,814)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B02700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Acquire real estate,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(23,913)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(27,426)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B03700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Increase in deposit margin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1,184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B06800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Decrease in 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(119)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B07100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Increase in prepaid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(658)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3,625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YYYY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Net cash inflow (outflow) from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(30,762)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(159,550)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Cash flow from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Increase in short-term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11,000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23,999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C01600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Long-term borrowing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140,000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C01700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Repay long-term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(14,062)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(14,063)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C04020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Lease principal repayment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(866)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(1,049)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C04500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Cash dividends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(4,237)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lastRenderedPageBreak/>
              <w:t>CCCC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Net cash inflow (outflow) from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(8,165)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148,887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EEEE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Increase (decrease) in current 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11,432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(8,574)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E00100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Beginning cash and cash equivalent balance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53,406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53,133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E00200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Cash and cash equivalent balance at the end of the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64,838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44,559 </w:t>
            </w:r>
          </w:p>
        </w:tc>
      </w:tr>
      <w:tr w:rsidR="00BD530D" w:rsidRPr="00BD530D" w:rsidTr="00BD530D">
        <w:trPr>
          <w:trHeight w:val="3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E00210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 xml:space="preserve">　</w:t>
            </w:r>
            <w:r w:rsidRPr="00E80823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Cash and cash equivalents in the balance sheet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64,838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0823" w:rsidRPr="00E80823" w:rsidRDefault="00E80823" w:rsidP="00E808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80823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44,559 </w:t>
            </w:r>
          </w:p>
        </w:tc>
      </w:tr>
    </w:tbl>
    <w:p w:rsidR="00E80823" w:rsidRPr="00E80823" w:rsidRDefault="00E80823" w:rsidP="00E8082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80823" w:rsidRPr="00E80823" w:rsidRDefault="00E80823" w:rsidP="00E80823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80823">
        <w:rPr>
          <w:rFonts w:ascii="Arial" w:eastAsia="新細明體" w:hAnsi="Arial" w:cs="Arial"/>
          <w:color w:val="000000"/>
          <w:kern w:val="0"/>
          <w:sz w:val="23"/>
          <w:szCs w:val="23"/>
        </w:rPr>
        <w:t>Unit: Thousand New Taiwan Dollars</w:t>
      </w: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520"/>
        <w:gridCol w:w="1108"/>
        <w:gridCol w:w="917"/>
        <w:gridCol w:w="936"/>
        <w:gridCol w:w="1120"/>
        <w:gridCol w:w="1603"/>
        <w:gridCol w:w="1070"/>
        <w:gridCol w:w="1793"/>
        <w:gridCol w:w="797"/>
        <w:gridCol w:w="1362"/>
        <w:gridCol w:w="1301"/>
        <w:gridCol w:w="1781"/>
      </w:tblGrid>
      <w:tr w:rsidR="00E71195" w:rsidRPr="00E71195" w:rsidTr="00E71195">
        <w:trPr>
          <w:trHeight w:val="311"/>
        </w:trPr>
        <w:tc>
          <w:tcPr>
            <w:tcW w:w="5000" w:type="pct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D51DC2">
            <w:pPr>
              <w:pStyle w:val="a9"/>
              <w:rPr>
                <w:sz w:val="28"/>
                <w:szCs w:val="24"/>
              </w:rPr>
            </w:pPr>
            <w:r w:rsidRPr="00695C86">
              <w:t>Statements of Change in Equity</w:t>
            </w:r>
          </w:p>
        </w:tc>
      </w:tr>
      <w:tr w:rsidR="00E71195" w:rsidRPr="00E71195" w:rsidTr="00E71195">
        <w:trPr>
          <w:trHeight w:val="298"/>
        </w:trPr>
        <w:tc>
          <w:tcPr>
            <w:tcW w:w="656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</w:pP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3110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3100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3200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3310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3350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3300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3420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3400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31XX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36XX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195" w:rsidRPr="00E71195" w:rsidRDefault="00E71195" w:rsidP="00E71195">
            <w:pPr>
              <w:pStyle w:val="a9"/>
              <w:rPr>
                <w:sz w:val="28"/>
                <w:szCs w:val="24"/>
              </w:rPr>
            </w:pPr>
            <w:r w:rsidRPr="00E71195">
              <w:rPr>
                <w:sz w:val="28"/>
                <w:szCs w:val="24"/>
              </w:rPr>
              <w:t>3XXX</w:t>
            </w:r>
          </w:p>
        </w:tc>
      </w:tr>
      <w:tr w:rsidR="00E71195" w:rsidRPr="00BD530D" w:rsidTr="00E71195">
        <w:trPr>
          <w:trHeight w:val="384"/>
        </w:trPr>
        <w:tc>
          <w:tcPr>
            <w:tcW w:w="656" w:type="pct"/>
            <w:gridSpan w:val="2"/>
            <w:vMerge/>
            <w:shd w:val="clear" w:color="auto" w:fill="auto"/>
            <w:vAlign w:val="center"/>
            <w:hideMark/>
          </w:tcPr>
          <w:p w:rsidR="00E71195" w:rsidRPr="00E80823" w:rsidRDefault="00E71195" w:rsidP="00E71195">
            <w:pPr>
              <w:pStyle w:val="a9"/>
            </w:pP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Common stock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Total equity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Capital reserve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Statutory surplus reserve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Undistributed surplus (or loss to be made up)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Total retained earnings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Unrealized appraisal (profit) and loss of financial assets measured at fair value through other comprehensive gains and losses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Total other equity items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Total equity attributable to owners of the parent company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Non-controlling interests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Total equity</w:t>
            </w:r>
          </w:p>
        </w:tc>
      </w:tr>
      <w:tr w:rsidR="00E71195" w:rsidRPr="00BD530D" w:rsidTr="00E71195">
        <w:trPr>
          <w:trHeight w:val="641"/>
        </w:trPr>
        <w:tc>
          <w:tcPr>
            <w:tcW w:w="17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A1</w:t>
            </w:r>
          </w:p>
        </w:tc>
        <w:tc>
          <w:tcPr>
            <w:tcW w:w="47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Opening Balance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423,735 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423,735 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29,919 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16,098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16,098 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42,272 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42,272 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512,024 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60,217 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572,241 </w:t>
            </w:r>
          </w:p>
        </w:tc>
      </w:tr>
      <w:tr w:rsidR="00E71195" w:rsidRPr="00BD530D" w:rsidTr="00E71195">
        <w:trPr>
          <w:trHeight w:val="953"/>
        </w:trPr>
        <w:tc>
          <w:tcPr>
            <w:tcW w:w="17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B1</w:t>
            </w:r>
          </w:p>
        </w:tc>
        <w:tc>
          <w:tcPr>
            <w:tcW w:w="47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Statutory surplus reserve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1,610 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>(1,610)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</w:tr>
      <w:tr w:rsidR="00E71195" w:rsidRPr="00BD530D" w:rsidTr="00E71195">
        <w:trPr>
          <w:trHeight w:val="964"/>
        </w:trPr>
        <w:tc>
          <w:tcPr>
            <w:tcW w:w="17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lastRenderedPageBreak/>
              <w:t>B5</w:t>
            </w:r>
          </w:p>
        </w:tc>
        <w:tc>
          <w:tcPr>
            <w:tcW w:w="47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Common stock cash dividend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>(4,237)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>(4,237)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>(4,237)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>(4,237)</w:t>
            </w:r>
          </w:p>
        </w:tc>
      </w:tr>
      <w:tr w:rsidR="00E71195" w:rsidRPr="00BD530D" w:rsidTr="00E71195">
        <w:trPr>
          <w:trHeight w:val="953"/>
        </w:trPr>
        <w:tc>
          <w:tcPr>
            <w:tcW w:w="17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D1</w:t>
            </w:r>
          </w:p>
        </w:tc>
        <w:tc>
          <w:tcPr>
            <w:tcW w:w="47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Net profit for the period (net loss)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4,040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4,040 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4,040 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301 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4,341 </w:t>
            </w:r>
          </w:p>
        </w:tc>
      </w:tr>
      <w:tr w:rsidR="00E71195" w:rsidRPr="00BD530D" w:rsidTr="00E71195">
        <w:trPr>
          <w:trHeight w:val="1596"/>
        </w:trPr>
        <w:tc>
          <w:tcPr>
            <w:tcW w:w="17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D3</w:t>
            </w:r>
          </w:p>
        </w:tc>
        <w:tc>
          <w:tcPr>
            <w:tcW w:w="47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Other comprehensive gains and losses of the current period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>(809)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>(809)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2,326 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2,326 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1,517 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1,517 </w:t>
            </w:r>
          </w:p>
        </w:tc>
      </w:tr>
      <w:tr w:rsidR="00E71195" w:rsidRPr="00BD530D" w:rsidTr="00E71195">
        <w:trPr>
          <w:trHeight w:val="1596"/>
        </w:trPr>
        <w:tc>
          <w:tcPr>
            <w:tcW w:w="17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D5</w:t>
            </w:r>
          </w:p>
        </w:tc>
        <w:tc>
          <w:tcPr>
            <w:tcW w:w="47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Total comprehensive profit and loss for the current period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3,231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3,231 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2,326 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2,326 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5,557 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301 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5,858 </w:t>
            </w:r>
          </w:p>
        </w:tc>
      </w:tr>
      <w:tr w:rsidR="00E71195" w:rsidRPr="00BD530D" w:rsidTr="00E71195">
        <w:trPr>
          <w:trHeight w:val="964"/>
        </w:trPr>
        <w:tc>
          <w:tcPr>
            <w:tcW w:w="17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Y1</w:t>
            </w:r>
          </w:p>
        </w:tc>
        <w:tc>
          <w:tcPr>
            <w:tcW w:w="47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Total increase (decrease) in equity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0 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1,610 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>(2,616)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>(1,006)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2,326 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2,326 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1,320 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301 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1,621 </w:t>
            </w:r>
          </w:p>
        </w:tc>
      </w:tr>
      <w:tr w:rsidR="00E71195" w:rsidRPr="00BD530D" w:rsidTr="00E71195">
        <w:trPr>
          <w:trHeight w:val="631"/>
        </w:trPr>
        <w:tc>
          <w:tcPr>
            <w:tcW w:w="17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Z1</w:t>
            </w:r>
          </w:p>
        </w:tc>
        <w:tc>
          <w:tcPr>
            <w:tcW w:w="47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szCs w:val="24"/>
              </w:rPr>
            </w:pPr>
            <w:r w:rsidRPr="00E80823">
              <w:rPr>
                <w:szCs w:val="24"/>
              </w:rPr>
              <w:t>Ending balance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423,735 </w:t>
            </w:r>
          </w:p>
        </w:tc>
        <w:tc>
          <w:tcPr>
            <w:tcW w:w="28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423,735 </w:t>
            </w:r>
          </w:p>
        </w:tc>
        <w:tc>
          <w:tcPr>
            <w:tcW w:w="2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29,919 </w:t>
            </w:r>
          </w:p>
        </w:tc>
        <w:tc>
          <w:tcPr>
            <w:tcW w:w="3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1,610 </w:t>
            </w:r>
          </w:p>
        </w:tc>
        <w:tc>
          <w:tcPr>
            <w:tcW w:w="5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13,482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15,092 </w:t>
            </w:r>
          </w:p>
        </w:tc>
        <w:tc>
          <w:tcPr>
            <w:tcW w:w="5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44,598 </w:t>
            </w:r>
          </w:p>
        </w:tc>
        <w:tc>
          <w:tcPr>
            <w:tcW w:w="2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44,598 </w:t>
            </w:r>
          </w:p>
        </w:tc>
        <w:tc>
          <w:tcPr>
            <w:tcW w:w="4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513,344 </w:t>
            </w:r>
          </w:p>
        </w:tc>
        <w:tc>
          <w:tcPr>
            <w:tcW w:w="4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60,518 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80823" w:rsidRDefault="00E71195" w:rsidP="00E71195">
            <w:pPr>
              <w:pStyle w:val="a9"/>
              <w:rPr>
                <w:rFonts w:eastAsia="細明體"/>
              </w:rPr>
            </w:pPr>
            <w:r w:rsidRPr="00E80823">
              <w:rPr>
                <w:rFonts w:eastAsia="細明體"/>
              </w:rPr>
              <w:t xml:space="preserve">573,862 </w:t>
            </w:r>
          </w:p>
        </w:tc>
      </w:tr>
    </w:tbl>
    <w:p w:rsidR="00E80823" w:rsidRPr="00E80823" w:rsidRDefault="00E80823" w:rsidP="00E8082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80823" w:rsidRPr="00E80823" w:rsidRDefault="00E80823" w:rsidP="00E80823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80823">
        <w:rPr>
          <w:rFonts w:ascii="Arial" w:eastAsia="新細明體" w:hAnsi="Arial" w:cs="Arial"/>
          <w:color w:val="000000"/>
          <w:kern w:val="0"/>
          <w:sz w:val="23"/>
          <w:szCs w:val="23"/>
        </w:rPr>
        <w:t>Unit: Thousand New Taiwan Dollars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832"/>
        <w:gridCol w:w="1068"/>
        <w:gridCol w:w="970"/>
        <w:gridCol w:w="903"/>
        <w:gridCol w:w="1110"/>
        <w:gridCol w:w="1622"/>
        <w:gridCol w:w="1027"/>
        <w:gridCol w:w="2166"/>
        <w:gridCol w:w="995"/>
        <w:gridCol w:w="1507"/>
        <w:gridCol w:w="1234"/>
        <w:gridCol w:w="970"/>
        <w:gridCol w:w="10"/>
      </w:tblGrid>
      <w:tr w:rsidR="00E71195" w:rsidRPr="00E71195" w:rsidTr="00E71195">
        <w:trPr>
          <w:trHeight w:val="383"/>
        </w:trPr>
        <w:tc>
          <w:tcPr>
            <w:tcW w:w="5000" w:type="pct"/>
            <w:gridSpan w:val="1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bookmarkStart w:id="0" w:name="_GoBack"/>
            <w:bookmarkEnd w:id="0"/>
            <w:r w:rsidRPr="00E71195">
              <w:lastRenderedPageBreak/>
              <w:t>Statement of changes in equity in the same period last year</w:t>
            </w:r>
          </w:p>
        </w:tc>
      </w:tr>
      <w:tr w:rsidR="00E71195" w:rsidRPr="00E71195" w:rsidTr="00E71195">
        <w:trPr>
          <w:gridAfter w:val="1"/>
          <w:wAfter w:w="3" w:type="pct"/>
          <w:trHeight w:val="449"/>
        </w:trPr>
        <w:tc>
          <w:tcPr>
            <w:tcW w:w="729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/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3110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3100</w:t>
            </w:r>
          </w:p>
        </w:tc>
        <w:tc>
          <w:tcPr>
            <w:tcW w:w="2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3200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3310</w:t>
            </w:r>
          </w:p>
        </w:tc>
        <w:tc>
          <w:tcPr>
            <w:tcW w:w="5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3350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3300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3420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3400</w:t>
            </w:r>
          </w:p>
        </w:tc>
        <w:tc>
          <w:tcPr>
            <w:tcW w:w="47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31XX</w:t>
            </w:r>
          </w:p>
        </w:tc>
        <w:tc>
          <w:tcPr>
            <w:tcW w:w="3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36XX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3XXX</w:t>
            </w:r>
          </w:p>
        </w:tc>
      </w:tr>
      <w:tr w:rsidR="00E71195" w:rsidRPr="00E71195" w:rsidTr="00E71195">
        <w:trPr>
          <w:gridAfter w:val="1"/>
          <w:wAfter w:w="3" w:type="pct"/>
          <w:trHeight w:val="2784"/>
        </w:trPr>
        <w:tc>
          <w:tcPr>
            <w:tcW w:w="729" w:type="pct"/>
            <w:gridSpan w:val="2"/>
            <w:vMerge/>
            <w:shd w:val="clear" w:color="auto" w:fill="auto"/>
            <w:vAlign w:val="center"/>
            <w:hideMark/>
          </w:tcPr>
          <w:p w:rsidR="00E71195" w:rsidRPr="00E71195" w:rsidRDefault="00E71195" w:rsidP="00E71195"/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Common stock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Total equity</w:t>
            </w:r>
          </w:p>
        </w:tc>
        <w:tc>
          <w:tcPr>
            <w:tcW w:w="2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Capital reserve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Statutory surplus reserve</w:t>
            </w:r>
          </w:p>
        </w:tc>
        <w:tc>
          <w:tcPr>
            <w:tcW w:w="5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Undistributed surplus (or loss to be made up)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Total retained earnings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Unrealized appraisal (profit) and loss of financial assets measured at fair value through other comprehensive gains and losses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Total other equity items</w:t>
            </w:r>
          </w:p>
        </w:tc>
        <w:tc>
          <w:tcPr>
            <w:tcW w:w="47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Total equity attributable to owners of the parent company</w:t>
            </w:r>
          </w:p>
        </w:tc>
        <w:tc>
          <w:tcPr>
            <w:tcW w:w="3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Non-controlling interests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Total equity</w:t>
            </w:r>
          </w:p>
        </w:tc>
      </w:tr>
      <w:tr w:rsidR="00E71195" w:rsidRPr="00E71195" w:rsidTr="00E71195">
        <w:trPr>
          <w:gridAfter w:val="1"/>
          <w:wAfter w:w="3" w:type="pct"/>
          <w:trHeight w:val="372"/>
        </w:trPr>
        <w:tc>
          <w:tcPr>
            <w:tcW w:w="1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A1</w:t>
            </w:r>
          </w:p>
        </w:tc>
        <w:tc>
          <w:tcPr>
            <w:tcW w:w="57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Opening Balance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423,735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423,735 </w:t>
            </w:r>
          </w:p>
        </w:tc>
        <w:tc>
          <w:tcPr>
            <w:tcW w:w="2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29,919 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5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>(10,375)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>(10,375)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57,087 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57,087 </w:t>
            </w:r>
          </w:p>
        </w:tc>
        <w:tc>
          <w:tcPr>
            <w:tcW w:w="47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500,366 </w:t>
            </w:r>
          </w:p>
        </w:tc>
        <w:tc>
          <w:tcPr>
            <w:tcW w:w="3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500,366 </w:t>
            </w:r>
          </w:p>
        </w:tc>
      </w:tr>
      <w:tr w:rsidR="00E71195" w:rsidRPr="00E71195" w:rsidTr="00E71195">
        <w:trPr>
          <w:gridAfter w:val="1"/>
          <w:wAfter w:w="3" w:type="pct"/>
          <w:trHeight w:val="1143"/>
        </w:trPr>
        <w:tc>
          <w:tcPr>
            <w:tcW w:w="1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D1</w:t>
            </w:r>
          </w:p>
        </w:tc>
        <w:tc>
          <w:tcPr>
            <w:tcW w:w="57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Net profit for the period (net loss)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2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5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23,250 </w:t>
            </w:r>
          </w:p>
        </w:tc>
        <w:tc>
          <w:tcPr>
            <w:tcW w:w="323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23,250 </w:t>
            </w:r>
          </w:p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47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23,250 </w:t>
            </w:r>
          </w:p>
        </w:tc>
        <w:tc>
          <w:tcPr>
            <w:tcW w:w="3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>(434)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22,816 </w:t>
            </w:r>
          </w:p>
        </w:tc>
      </w:tr>
      <w:tr w:rsidR="00E71195" w:rsidRPr="00E71195" w:rsidTr="00E71195">
        <w:trPr>
          <w:gridAfter w:val="1"/>
          <w:wAfter w:w="3" w:type="pct"/>
          <w:trHeight w:val="1916"/>
        </w:trPr>
        <w:tc>
          <w:tcPr>
            <w:tcW w:w="1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D3</w:t>
            </w:r>
          </w:p>
        </w:tc>
        <w:tc>
          <w:tcPr>
            <w:tcW w:w="57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Other comprehensive gains and losses of the current period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2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5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23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</w:p>
        </w:tc>
        <w:tc>
          <w:tcPr>
            <w:tcW w:w="6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49,539 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49,539 </w:t>
            </w:r>
          </w:p>
        </w:tc>
        <w:tc>
          <w:tcPr>
            <w:tcW w:w="47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49,539 </w:t>
            </w:r>
          </w:p>
        </w:tc>
        <w:tc>
          <w:tcPr>
            <w:tcW w:w="3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49,539 </w:t>
            </w:r>
          </w:p>
        </w:tc>
      </w:tr>
      <w:tr w:rsidR="00E71195" w:rsidRPr="00E71195" w:rsidTr="00E71195">
        <w:trPr>
          <w:gridAfter w:val="1"/>
          <w:wAfter w:w="3" w:type="pct"/>
          <w:trHeight w:val="1916"/>
        </w:trPr>
        <w:tc>
          <w:tcPr>
            <w:tcW w:w="1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D5</w:t>
            </w:r>
          </w:p>
        </w:tc>
        <w:tc>
          <w:tcPr>
            <w:tcW w:w="57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Total comprehensive profit and loss for the current period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2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5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23,250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23,250 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49,539 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49,539 </w:t>
            </w:r>
          </w:p>
        </w:tc>
        <w:tc>
          <w:tcPr>
            <w:tcW w:w="47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72,789 </w:t>
            </w:r>
          </w:p>
        </w:tc>
        <w:tc>
          <w:tcPr>
            <w:tcW w:w="3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>(434)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72,355 </w:t>
            </w:r>
          </w:p>
        </w:tc>
      </w:tr>
      <w:tr w:rsidR="00E71195" w:rsidRPr="00E71195" w:rsidTr="00E71195">
        <w:trPr>
          <w:gridAfter w:val="1"/>
          <w:wAfter w:w="3" w:type="pct"/>
          <w:trHeight w:val="372"/>
        </w:trPr>
        <w:tc>
          <w:tcPr>
            <w:tcW w:w="1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lastRenderedPageBreak/>
              <w:t>M7</w:t>
            </w:r>
          </w:p>
        </w:tc>
        <w:tc>
          <w:tcPr>
            <w:tcW w:w="57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Changes in ownership and equity of subsidiaries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2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5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47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61,047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61,047 </w:t>
            </w:r>
          </w:p>
        </w:tc>
      </w:tr>
      <w:tr w:rsidR="00E71195" w:rsidRPr="00E71195" w:rsidTr="00E71195">
        <w:trPr>
          <w:gridAfter w:val="1"/>
          <w:wAfter w:w="3" w:type="pct"/>
          <w:trHeight w:val="1143"/>
        </w:trPr>
        <w:tc>
          <w:tcPr>
            <w:tcW w:w="1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Y1</w:t>
            </w:r>
          </w:p>
        </w:tc>
        <w:tc>
          <w:tcPr>
            <w:tcW w:w="57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Total increase (decrease) in equity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2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5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23,250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23,250 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49,539 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49,539 </w:t>
            </w:r>
          </w:p>
        </w:tc>
        <w:tc>
          <w:tcPr>
            <w:tcW w:w="47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72,789 </w:t>
            </w:r>
          </w:p>
        </w:tc>
        <w:tc>
          <w:tcPr>
            <w:tcW w:w="3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60,613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133,402 </w:t>
            </w:r>
          </w:p>
        </w:tc>
      </w:tr>
      <w:tr w:rsidR="00E71195" w:rsidRPr="00E71195" w:rsidTr="00E71195">
        <w:trPr>
          <w:gridAfter w:val="1"/>
          <w:wAfter w:w="3" w:type="pct"/>
          <w:trHeight w:val="372"/>
        </w:trPr>
        <w:tc>
          <w:tcPr>
            <w:tcW w:w="15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Z1</w:t>
            </w:r>
          </w:p>
        </w:tc>
        <w:tc>
          <w:tcPr>
            <w:tcW w:w="57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szCs w:val="24"/>
              </w:rPr>
            </w:pPr>
            <w:r w:rsidRPr="00E71195">
              <w:rPr>
                <w:szCs w:val="24"/>
              </w:rPr>
              <w:t>Ending balance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423,735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423,735 </w:t>
            </w:r>
          </w:p>
        </w:tc>
        <w:tc>
          <w:tcPr>
            <w:tcW w:w="2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29,919 </w:t>
            </w:r>
          </w:p>
        </w:tc>
        <w:tc>
          <w:tcPr>
            <w:tcW w:w="3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0 </w:t>
            </w:r>
          </w:p>
        </w:tc>
        <w:tc>
          <w:tcPr>
            <w:tcW w:w="51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12,875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12,875 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106,626 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106,626 </w:t>
            </w:r>
          </w:p>
        </w:tc>
        <w:tc>
          <w:tcPr>
            <w:tcW w:w="47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573,155 </w:t>
            </w:r>
          </w:p>
        </w:tc>
        <w:tc>
          <w:tcPr>
            <w:tcW w:w="3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 xml:space="preserve">60,613 </w:t>
            </w:r>
          </w:p>
        </w:tc>
        <w:tc>
          <w:tcPr>
            <w:tcW w:w="3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195" w:rsidRPr="00E71195" w:rsidRDefault="00E71195" w:rsidP="00E71195">
            <w:pPr>
              <w:rPr>
                <w:rFonts w:eastAsia="細明體"/>
              </w:rPr>
            </w:pPr>
            <w:r w:rsidRPr="00E71195">
              <w:rPr>
                <w:rFonts w:eastAsia="細明體"/>
              </w:rPr>
              <w:t>633,768</w:t>
            </w:r>
          </w:p>
        </w:tc>
      </w:tr>
    </w:tbl>
    <w:p w:rsidR="006C0A79" w:rsidRDefault="006C0A79" w:rsidP="00E80823">
      <w:pPr>
        <w:widowControl/>
      </w:pPr>
    </w:p>
    <w:sectPr w:rsidR="006C0A79" w:rsidSect="00500E4E">
      <w:pgSz w:w="16838" w:h="11906" w:orient="landscape"/>
      <w:pgMar w:top="851" w:right="0" w:bottom="851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755" w:rsidRDefault="005C3755" w:rsidP="00A60036">
      <w:r>
        <w:separator/>
      </w:r>
    </w:p>
  </w:endnote>
  <w:endnote w:type="continuationSeparator" w:id="0">
    <w:p w:rsidR="005C3755" w:rsidRDefault="005C3755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755" w:rsidRDefault="005C3755" w:rsidP="00A60036">
      <w:r>
        <w:separator/>
      </w:r>
    </w:p>
  </w:footnote>
  <w:footnote w:type="continuationSeparator" w:id="0">
    <w:p w:rsidR="005C3755" w:rsidRDefault="005C3755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81D3E"/>
    <w:rsid w:val="000B29A5"/>
    <w:rsid w:val="00170610"/>
    <w:rsid w:val="001949AE"/>
    <w:rsid w:val="001B4F65"/>
    <w:rsid w:val="001D6D33"/>
    <w:rsid w:val="00235966"/>
    <w:rsid w:val="00282979"/>
    <w:rsid w:val="00291181"/>
    <w:rsid w:val="002951FE"/>
    <w:rsid w:val="002D0042"/>
    <w:rsid w:val="00305140"/>
    <w:rsid w:val="003101FF"/>
    <w:rsid w:val="00326A7F"/>
    <w:rsid w:val="003520C6"/>
    <w:rsid w:val="00373890"/>
    <w:rsid w:val="00381059"/>
    <w:rsid w:val="003D7D71"/>
    <w:rsid w:val="003E3CA6"/>
    <w:rsid w:val="0040305E"/>
    <w:rsid w:val="00500E4E"/>
    <w:rsid w:val="00510D2D"/>
    <w:rsid w:val="005331A9"/>
    <w:rsid w:val="005C3755"/>
    <w:rsid w:val="005F1BF9"/>
    <w:rsid w:val="00693D2F"/>
    <w:rsid w:val="00695C86"/>
    <w:rsid w:val="006C0A79"/>
    <w:rsid w:val="006E748C"/>
    <w:rsid w:val="007505F0"/>
    <w:rsid w:val="00792E7A"/>
    <w:rsid w:val="00815741"/>
    <w:rsid w:val="00865DF5"/>
    <w:rsid w:val="008C0917"/>
    <w:rsid w:val="008F1D02"/>
    <w:rsid w:val="00925364"/>
    <w:rsid w:val="009D568F"/>
    <w:rsid w:val="009E782C"/>
    <w:rsid w:val="00A01511"/>
    <w:rsid w:val="00A243DD"/>
    <w:rsid w:val="00A60036"/>
    <w:rsid w:val="00A67067"/>
    <w:rsid w:val="00B15301"/>
    <w:rsid w:val="00B26D45"/>
    <w:rsid w:val="00B36653"/>
    <w:rsid w:val="00BA12F8"/>
    <w:rsid w:val="00BD530D"/>
    <w:rsid w:val="00C5142A"/>
    <w:rsid w:val="00C6027C"/>
    <w:rsid w:val="00CE2887"/>
    <w:rsid w:val="00CF32F4"/>
    <w:rsid w:val="00D4229E"/>
    <w:rsid w:val="00D51DC2"/>
    <w:rsid w:val="00D86239"/>
    <w:rsid w:val="00DD0598"/>
    <w:rsid w:val="00E16397"/>
    <w:rsid w:val="00E17305"/>
    <w:rsid w:val="00E207CB"/>
    <w:rsid w:val="00E6775C"/>
    <w:rsid w:val="00E71195"/>
    <w:rsid w:val="00E80823"/>
    <w:rsid w:val="00E956B6"/>
    <w:rsid w:val="00E95DE2"/>
    <w:rsid w:val="00EA1D88"/>
    <w:rsid w:val="00F0214F"/>
    <w:rsid w:val="00F104A0"/>
    <w:rsid w:val="00F44BCC"/>
    <w:rsid w:val="00FC0D89"/>
    <w:rsid w:val="00FD1568"/>
    <w:rsid w:val="00FD237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E08F9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32">
    <w:name w:val="頁首3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33">
    <w:name w:val="標題3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4">
    <w:name w:val="無清單4"/>
    <w:next w:val="a2"/>
    <w:uiPriority w:val="99"/>
    <w:semiHidden/>
    <w:unhideWhenUsed/>
    <w:rsid w:val="00235966"/>
  </w:style>
  <w:style w:type="paragraph" w:customStyle="1" w:styleId="40">
    <w:name w:val="頁首4"/>
    <w:basedOn w:val="a"/>
    <w:rsid w:val="0023596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41">
    <w:name w:val="標題4"/>
    <w:basedOn w:val="a"/>
    <w:rsid w:val="0023596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No Spacing"/>
    <w:uiPriority w:val="1"/>
    <w:qFormat/>
    <w:rsid w:val="00E17305"/>
    <w:pPr>
      <w:widowControl w:val="0"/>
    </w:pPr>
  </w:style>
  <w:style w:type="numbering" w:customStyle="1" w:styleId="5">
    <w:name w:val="無清單5"/>
    <w:next w:val="a2"/>
    <w:uiPriority w:val="99"/>
    <w:semiHidden/>
    <w:unhideWhenUsed/>
    <w:rsid w:val="00925364"/>
  </w:style>
  <w:style w:type="paragraph" w:customStyle="1" w:styleId="50">
    <w:name w:val="頁首5"/>
    <w:basedOn w:val="a"/>
    <w:rsid w:val="0092536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51">
    <w:name w:val="標題5"/>
    <w:basedOn w:val="a"/>
    <w:rsid w:val="0092536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6">
    <w:name w:val="無清單6"/>
    <w:next w:val="a2"/>
    <w:uiPriority w:val="99"/>
    <w:semiHidden/>
    <w:unhideWhenUsed/>
    <w:rsid w:val="00CF32F4"/>
  </w:style>
  <w:style w:type="paragraph" w:customStyle="1" w:styleId="60">
    <w:name w:val="頁首6"/>
    <w:basedOn w:val="a"/>
    <w:rsid w:val="00CF32F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61">
    <w:name w:val="標題6"/>
    <w:basedOn w:val="a"/>
    <w:rsid w:val="00CF32F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7">
    <w:name w:val="無清單7"/>
    <w:next w:val="a2"/>
    <w:uiPriority w:val="99"/>
    <w:semiHidden/>
    <w:unhideWhenUsed/>
    <w:rsid w:val="00E956B6"/>
  </w:style>
  <w:style w:type="numbering" w:customStyle="1" w:styleId="8">
    <w:name w:val="無清單8"/>
    <w:next w:val="a2"/>
    <w:uiPriority w:val="99"/>
    <w:semiHidden/>
    <w:unhideWhenUsed/>
    <w:rsid w:val="00E8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3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6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1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5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6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19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9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8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3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0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4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3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3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3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081F-D294-4E31-833C-5E7B924A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1872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4</cp:revision>
  <dcterms:created xsi:type="dcterms:W3CDTF">2021-11-11T07:48:00Z</dcterms:created>
  <dcterms:modified xsi:type="dcterms:W3CDTF">2021-11-12T02:59:00Z</dcterms:modified>
</cp:coreProperties>
</file>