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0955ED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016EBC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FF5F8D" w:rsidRPr="00FF5F8D" w:rsidRDefault="00FF5F8D" w:rsidP="00FF5F8D">
      <w:r w:rsidRPr="00FF5F8D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0284"/>
        <w:gridCol w:w="1208"/>
        <w:gridCol w:w="1330"/>
        <w:gridCol w:w="1208"/>
      </w:tblGrid>
      <w:tr w:rsidR="00FF5F8D" w:rsidRPr="00FF5F8D" w:rsidTr="00214549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CF5E40">
            <w:pPr>
              <w:jc w:val="center"/>
              <w:rPr>
                <w:b/>
              </w:rPr>
            </w:pPr>
            <w:r w:rsidRPr="00412D48">
              <w:rPr>
                <w:b/>
                <w:vanish/>
              </w:rPr>
              <w:t>資產負債表</w:t>
            </w:r>
            <w:r w:rsidRPr="00412D48">
              <w:rPr>
                <w:b/>
              </w:rPr>
              <w:t>Balance Sheet</w:t>
            </w:r>
          </w:p>
        </w:tc>
      </w:tr>
      <w:tr w:rsidR="00FF5F8D" w:rsidRPr="00FF5F8D" w:rsidTr="00214549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FF5F8D">
            <w:pPr>
              <w:rPr>
                <w:b/>
              </w:rPr>
            </w:pPr>
            <w:r w:rsidRPr="00412D48">
              <w:rPr>
                <w:b/>
                <w:vanish/>
              </w:rPr>
              <w:t>代號</w:t>
            </w:r>
            <w:r w:rsidRPr="00412D48">
              <w:rPr>
                <w:b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CF5E40">
            <w:pPr>
              <w:jc w:val="center"/>
              <w:rPr>
                <w:b/>
              </w:rPr>
            </w:pPr>
            <w:r w:rsidRPr="00412D48">
              <w:rPr>
                <w:b/>
                <w:vanish/>
              </w:rPr>
              <w:t>會計項目</w:t>
            </w:r>
            <w:r w:rsidRPr="00412D48">
              <w:rPr>
                <w:b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FF5F8D">
            <w:pPr>
              <w:rPr>
                <w:b/>
              </w:rPr>
            </w:pPr>
            <w:r w:rsidRPr="00412D48">
              <w:rPr>
                <w:b/>
                <w:vanish/>
              </w:rPr>
              <w:t>2022</w:t>
            </w:r>
            <w:r w:rsidRPr="00412D48">
              <w:rPr>
                <w:b/>
                <w:vanish/>
              </w:rPr>
              <w:t>年</w:t>
            </w:r>
            <w:r w:rsidRPr="00412D48">
              <w:rPr>
                <w:b/>
                <w:vanish/>
              </w:rPr>
              <w:t>6</w:t>
            </w:r>
            <w:r w:rsidRPr="00412D48">
              <w:rPr>
                <w:b/>
                <w:vanish/>
              </w:rPr>
              <w:t>月</w:t>
            </w:r>
            <w:r w:rsidRPr="00412D48">
              <w:rPr>
                <w:b/>
                <w:vanish/>
              </w:rPr>
              <w:t>30</w:t>
            </w:r>
            <w:r w:rsidRPr="00412D48">
              <w:rPr>
                <w:b/>
                <w:vanish/>
              </w:rPr>
              <w:t>日</w:t>
            </w:r>
            <w:r w:rsidRPr="00412D48">
              <w:rPr>
                <w:b/>
              </w:rPr>
              <w:t>2022/6/30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FF5F8D">
            <w:pPr>
              <w:rPr>
                <w:b/>
              </w:rPr>
            </w:pPr>
            <w:r w:rsidRPr="00412D48">
              <w:rPr>
                <w:b/>
                <w:vanish/>
              </w:rPr>
              <w:t>2021</w:t>
            </w:r>
            <w:r w:rsidRPr="00412D48">
              <w:rPr>
                <w:b/>
                <w:vanish/>
              </w:rPr>
              <w:t>年</w:t>
            </w:r>
            <w:r w:rsidRPr="00412D48">
              <w:rPr>
                <w:b/>
                <w:vanish/>
              </w:rPr>
              <w:t>12</w:t>
            </w:r>
            <w:r w:rsidRPr="00412D48">
              <w:rPr>
                <w:b/>
                <w:vanish/>
              </w:rPr>
              <w:t>月</w:t>
            </w:r>
            <w:r w:rsidRPr="00412D48">
              <w:rPr>
                <w:b/>
                <w:vanish/>
              </w:rPr>
              <w:t>31</w:t>
            </w:r>
            <w:r w:rsidRPr="00412D48">
              <w:rPr>
                <w:b/>
                <w:vanish/>
              </w:rPr>
              <w:t>日</w:t>
            </w:r>
            <w:r w:rsidRPr="00412D48">
              <w:rPr>
                <w:b/>
              </w:rPr>
              <w:t>2021/12/31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412D48" w:rsidRDefault="00FF5F8D" w:rsidP="00FF5F8D">
            <w:pPr>
              <w:rPr>
                <w:b/>
              </w:rPr>
            </w:pPr>
            <w:r w:rsidRPr="00412D48">
              <w:rPr>
                <w:b/>
                <w:vanish/>
              </w:rPr>
              <w:t>2021</w:t>
            </w:r>
            <w:r w:rsidRPr="00412D48">
              <w:rPr>
                <w:b/>
                <w:vanish/>
              </w:rPr>
              <w:t>年</w:t>
            </w:r>
            <w:r w:rsidRPr="00412D48">
              <w:rPr>
                <w:b/>
                <w:vanish/>
              </w:rPr>
              <w:t>6</w:t>
            </w:r>
            <w:r w:rsidRPr="00412D48">
              <w:rPr>
                <w:b/>
                <w:vanish/>
              </w:rPr>
              <w:t>月</w:t>
            </w:r>
            <w:r w:rsidRPr="00412D48">
              <w:rPr>
                <w:b/>
                <w:vanish/>
              </w:rPr>
              <w:t>30</w:t>
            </w:r>
            <w:r w:rsidRPr="00412D48">
              <w:rPr>
                <w:b/>
                <w:vanish/>
              </w:rPr>
              <w:t>日</w:t>
            </w:r>
            <w:r w:rsidRPr="00412D48">
              <w:rPr>
                <w:b/>
              </w:rPr>
              <w:t>2021/6/30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資產</w:t>
            </w:r>
            <w:r w:rsidRPr="00FF5F8D">
              <w:rPr>
                <w:color w:val="333333"/>
              </w:rPr>
              <w:t>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流動資產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現金及約當現金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122,282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49,023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應收票據淨額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Notes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1,316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2,789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1,049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應收帳款淨額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Accounts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121,151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69,688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97,939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應收帳款－關係人淨額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17,157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27,403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30,786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130X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存貨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Current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139,980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145,208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170,401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1470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其他流動資產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21,151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23,887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18,395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流動資產合計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423,037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347,175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367,593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非流動資產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1517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透過其他綜合損益按公允價值衡量之金融資產－非流動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107,711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134,766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128,499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1535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按攤銷後成本衡量之金融資產－非流動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 xml:space="preserve">Non-current financial assets at </w:t>
            </w:r>
            <w:proofErr w:type="spellStart"/>
            <w:r w:rsidRPr="00FF5F8D">
              <w:rPr>
                <w:color w:val="333333"/>
              </w:rPr>
              <w:t>amortised</w:t>
            </w:r>
            <w:proofErr w:type="spellEnd"/>
            <w:r w:rsidRPr="00FF5F8D">
              <w:rPr>
                <w:color w:val="333333"/>
              </w:rPr>
              <w:t xml:space="preserve"> cost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1,500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1,500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不動產、廠房及設備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404,513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410,691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425,307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1755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使用權資產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Right-of-use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1,491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2,078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2,665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1840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遞延所得稅資產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Deferred tax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24,739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25,098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26,309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其他非流動資產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6,836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8,937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7,482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15XX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非流動資產合計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546,790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583,070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591,762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1XXX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資產總計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969,827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959,355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負債及權益</w:t>
            </w:r>
            <w:r w:rsidRPr="00FF5F8D">
              <w:rPr>
                <w:color w:val="333333"/>
              </w:rPr>
              <w:t>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負債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流動負債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短期借款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28,000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28,000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合約負債－流動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Current contract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4,125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應付帳款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26,303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29,620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26,741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其他應付款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Other payables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53,297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37,466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48,583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2230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本期所得稅負債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Current tax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租賃負債－流動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1,015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1,173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1,168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其他流動負債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52,338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33,631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19,878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2320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一年或一營業週期內到期長期負債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Long-term liabilities, current portion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51,622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32,750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2399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其他流動負債－其他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Other current liabilities, others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881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19,878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流動負債合計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Total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133,330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130,550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128,495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非流動負債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2540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長期借款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188,285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189,750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213,125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2570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遞延所得稅負債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Deferred tax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18,180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17,825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17,811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2580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租賃負債－非流動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Non-current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485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912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1,499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2600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其他非流動負債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Other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13,400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14,829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16,912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非流動負債合計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Total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220,350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223,316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249,347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2XXX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負債總計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353,680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353,866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377,842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權益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歸屬於母公司業主之權益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股本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普通股股本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股本合計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資本公積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資本公積－發行溢價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29,841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資本公積－其他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Capital surplus, others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78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資本公積合計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保留盈餘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法定盈餘公積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Legal reserve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2,414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3350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未分配盈餘（或待彌補虧損）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51,839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18,293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24,643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保留盈餘合計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54,253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19,903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24,643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其他權益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3420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透過其他綜合損益按公允價值衡量之金融資產未實現評價損益</w:t>
            </w:r>
            <w:r w:rsidRPr="00FF5F8D">
              <w:rPr>
                <w:color w:val="333333"/>
              </w:rPr>
              <w:t xml:space="preserve">　　　　</w:t>
            </w:r>
            <w:proofErr w:type="spellStart"/>
            <w:r w:rsidRPr="00FF5F8D">
              <w:rPr>
                <w:color w:val="333333"/>
              </w:rPr>
              <w:t>Unrealised</w:t>
            </w:r>
            <w:proofErr w:type="spellEnd"/>
            <w:r w:rsidRPr="00FF5F8D">
              <w:rPr>
                <w:color w:val="33333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43,383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42,602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3400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其他權益合計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43,383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42,602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歸屬於母公司業主之權益合計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551,290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514,110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520,899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36XX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非控制權益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64,857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62,269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60,614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權益總額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616,147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576,379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581,513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3X2X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負債及權益總計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969,827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930,245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959,355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3997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待註銷股本股數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3998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預收股款（權益項下）之約當發行股數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21454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color w:val="333333"/>
              </w:rPr>
              <w:t>3999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母公司暨子公司所持有之母公司庫藏股股數（單位：股）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FF5F8D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</w:tbl>
    <w:p w:rsidR="00FF5F8D" w:rsidRPr="00FF5F8D" w:rsidRDefault="00FF5F8D" w:rsidP="00016EBC">
      <w:r w:rsidRPr="00FF5F8D">
        <w:br/>
      </w:r>
    </w:p>
    <w:p w:rsidR="00FF5F8D" w:rsidRPr="00FF5F8D" w:rsidRDefault="00FF5F8D" w:rsidP="00016EBC">
      <w:r w:rsidRPr="00FF5F8D">
        <w:rPr>
          <w:vanish/>
        </w:rPr>
        <w:t>單位：新臺幣仟元　每股盈餘單位：新台幣元</w:t>
      </w:r>
      <w:r w:rsidRPr="00FF5F8D">
        <w:t>Unit: NT$ thousands</w:t>
      </w:r>
      <w:r w:rsidRPr="00FF5F8D">
        <w:t xml:space="preserve">　</w:t>
      </w:r>
      <w:r w:rsidRPr="00FF5F8D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902"/>
        <w:gridCol w:w="1782"/>
        <w:gridCol w:w="1782"/>
        <w:gridCol w:w="1782"/>
        <w:gridCol w:w="1782"/>
      </w:tblGrid>
      <w:tr w:rsidR="00FF5F8D" w:rsidRPr="00FF5F8D" w:rsidTr="00016EBC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jc w:val="center"/>
              <w:rPr>
                <w:b/>
              </w:rPr>
            </w:pPr>
            <w:r w:rsidRPr="00CF5E40">
              <w:rPr>
                <w:b/>
                <w:vanish/>
              </w:rPr>
              <w:t>綜合損益表</w:t>
            </w:r>
            <w:r w:rsidRPr="00CF5E40">
              <w:rPr>
                <w:b/>
              </w:rPr>
              <w:t>Statement of Comprehensive Income</w:t>
            </w:r>
          </w:p>
        </w:tc>
      </w:tr>
      <w:tr w:rsidR="00FF5F8D" w:rsidRPr="00FF5F8D" w:rsidTr="00016EBC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016EBC">
            <w:pPr>
              <w:rPr>
                <w:b/>
              </w:rPr>
            </w:pPr>
            <w:r w:rsidRPr="00CF5E40">
              <w:rPr>
                <w:b/>
                <w:vanish/>
              </w:rPr>
              <w:t>代號</w:t>
            </w:r>
            <w:r w:rsidRPr="00CF5E40">
              <w:rPr>
                <w:b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jc w:val="center"/>
              <w:rPr>
                <w:b/>
              </w:rPr>
            </w:pPr>
            <w:r w:rsidRPr="00CF5E40">
              <w:rPr>
                <w:b/>
                <w:vanish/>
              </w:rPr>
              <w:t>會計項目</w:t>
            </w:r>
            <w:r w:rsidRPr="00CF5E40">
              <w:rPr>
                <w:b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016EBC">
            <w:pPr>
              <w:rPr>
                <w:b/>
              </w:rPr>
            </w:pPr>
            <w:r w:rsidRPr="00CF5E40">
              <w:rPr>
                <w:b/>
                <w:vanish/>
              </w:rPr>
              <w:t>2022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4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2022/4/1To6/30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016EBC">
            <w:pPr>
              <w:rPr>
                <w:b/>
              </w:rPr>
            </w:pPr>
            <w:r w:rsidRPr="00CF5E40">
              <w:rPr>
                <w:b/>
                <w:vanish/>
              </w:rPr>
              <w:t>2021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4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2021/4/1To6/30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016EBC">
            <w:pPr>
              <w:rPr>
                <w:b/>
              </w:rPr>
            </w:pPr>
            <w:r w:rsidRPr="00CF5E40">
              <w:rPr>
                <w:b/>
                <w:vanish/>
              </w:rPr>
              <w:t>2022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2022/1/1To6/30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016EBC">
            <w:pPr>
              <w:rPr>
                <w:b/>
              </w:rPr>
            </w:pPr>
            <w:r w:rsidRPr="00CF5E40">
              <w:rPr>
                <w:b/>
                <w:vanish/>
              </w:rPr>
              <w:t>2021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2021/1/1To6/30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營業收入</w:t>
            </w:r>
            <w:r w:rsidRPr="00FF5F8D">
              <w:rPr>
                <w:color w:val="333333"/>
              </w:rPr>
              <w:t>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4000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營業收入合計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operating revenue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154,646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137,054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262,792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244,421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營業成本</w:t>
            </w:r>
            <w:r w:rsidRPr="00FF5F8D">
              <w:rPr>
                <w:color w:val="333333"/>
              </w:rPr>
              <w:t>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5000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營業成本合計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operating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104,585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97,896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187,029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186,315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5900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營業毛利（毛損）</w:t>
            </w:r>
            <w:r w:rsidRPr="00FF5F8D">
              <w:rPr>
                <w:color w:val="33333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50,061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39,158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75,763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58,106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5950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營業毛利（毛損）淨額</w:t>
            </w:r>
            <w:r w:rsidRPr="00FF5F8D">
              <w:rPr>
                <w:color w:val="33333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50,061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39,158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75,763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58,106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營業費用</w:t>
            </w:r>
            <w:r w:rsidRPr="00FF5F8D">
              <w:rPr>
                <w:color w:val="333333"/>
              </w:rPr>
              <w:t>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6100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推銷費用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Selling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7,854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4,849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13,586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9,282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6200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管理費用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Administrative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14,519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12,992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25,460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24,416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6300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研究發展費用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Research and development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8,690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8,556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16,892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15,941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6000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營業費用合計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operating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31,063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26,397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55,938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49,639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6900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營業利益（損失）</w:t>
            </w:r>
            <w:r w:rsidRPr="00FF5F8D">
              <w:rPr>
                <w:color w:val="333333"/>
              </w:rPr>
              <w:t>Net operating income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18,998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12,761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19,825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8,467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營業外收入及支出</w:t>
            </w:r>
            <w:r w:rsidRPr="00FF5F8D">
              <w:rPr>
                <w:color w:val="333333"/>
              </w:rPr>
              <w:t>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利息收入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利息收入合計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interest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31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其他收入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7010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其他收入合計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other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11,177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2,302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13,819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2,931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其他利益及損失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Other gains and losses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7020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其他利益及損失淨額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Other gains and losses,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5,055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(2,158)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8,843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(2,308)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財務成本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Finance costs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7050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財務成本淨額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Finance costs,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795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646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1,419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1,331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營業外收入及支出合計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15,477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(475)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21,286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(677)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繼續營業單位稅前淨利（淨損）</w:t>
            </w:r>
            <w:r w:rsidRPr="00FF5F8D">
              <w:rPr>
                <w:color w:val="33333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34,475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41,111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7,790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所得稅費用（</w:t>
            </w:r>
            <w:r w:rsidRPr="00FF5F8D">
              <w:rPr>
                <w:vanish/>
                <w:color w:val="333333"/>
              </w:rPr>
              <w:t>???</w:t>
            </w:r>
            <w:r w:rsidRPr="00FF5F8D">
              <w:rPr>
                <w:vanish/>
                <w:color w:val="333333"/>
              </w:rPr>
              <w:t>益）</w:t>
            </w:r>
            <w:r w:rsidRPr="00FF5F8D">
              <w:rPr>
                <w:color w:val="333333"/>
              </w:rPr>
              <w:t>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7950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所得稅費用（利益）合計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tax expense (income)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(1,893)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8000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繼續營業單位本期淨利（淨損）</w:t>
            </w:r>
            <w:r w:rsidRPr="00FF5F8D">
              <w:rPr>
                <w:color w:val="33333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34,562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9,683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8200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本期淨利（淨損）</w:t>
            </w:r>
            <w:r w:rsidRPr="00FF5F8D">
              <w:rPr>
                <w:color w:val="333333"/>
              </w:rPr>
              <w:t>Profit (loss)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34,562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9,683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其他綜合損益</w:t>
            </w:r>
            <w:r w:rsidRPr="00FF5F8D">
              <w:rPr>
                <w:vanish/>
                <w:color w:val="333333"/>
              </w:rPr>
              <w:t>(</w:t>
            </w:r>
            <w:r w:rsidRPr="00FF5F8D">
              <w:rPr>
                <w:vanish/>
                <w:color w:val="333333"/>
              </w:rPr>
              <w:t>淨額</w:t>
            </w:r>
            <w:r w:rsidRPr="00FF5F8D">
              <w:rPr>
                <w:vanish/>
                <w:color w:val="333333"/>
              </w:rPr>
              <w:t>)</w:t>
            </w:r>
            <w:r w:rsidRPr="00FF5F8D">
              <w:rPr>
                <w:color w:val="333333"/>
              </w:rPr>
              <w:t>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不重分類至損益之項目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8316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透過其他綜合損益按公允價值衡量之權益工具投資未實現評價損益</w:t>
            </w:r>
            <w:r w:rsidRPr="00FF5F8D">
              <w:rPr>
                <w:color w:val="333333"/>
              </w:rPr>
              <w:t xml:space="preserve">　　</w:t>
            </w:r>
            <w:proofErr w:type="spellStart"/>
            <w:r w:rsidRPr="00FF5F8D">
              <w:rPr>
                <w:color w:val="333333"/>
              </w:rPr>
              <w:t>Unrealised</w:t>
            </w:r>
            <w:proofErr w:type="spellEnd"/>
            <w:r w:rsidRPr="00FF5F8D">
              <w:rPr>
                <w:color w:val="33333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2,111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3,169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3,521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168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8349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與不重分類之項目相關之所得稅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579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8310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不重分類至損益之項目總額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1,908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2,807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(411)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其他綜合損益（淨額）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1,908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2,807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(411)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8500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本期綜合損益總額</w:t>
            </w:r>
            <w:r w:rsidRPr="00FF5F8D">
              <w:rPr>
                <w:color w:val="333333"/>
              </w:rPr>
              <w:t>Total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36,470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14,800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44,005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9,272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淨利（損）歸屬於：</w:t>
            </w:r>
            <w:r w:rsidRPr="00FF5F8D">
              <w:rPr>
                <w:color w:val="333333"/>
              </w:rPr>
              <w:t>Profit (loss),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8610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母公司業主（淨利／損）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33,316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12,372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38,610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9,286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8620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非控制權益（淨利／損）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1,246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397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綜合損益總額歸屬於：</w:t>
            </w:r>
            <w:r w:rsidRPr="00FF5F8D">
              <w:rPr>
                <w:color w:val="33333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母公司業主（綜合損益）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35,224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14,886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41,417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8,875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8720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非控制權益（綜合損益）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1,246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397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基本每股盈餘</w:t>
            </w:r>
            <w:r w:rsidRPr="00FF5F8D">
              <w:rPr>
                <w:color w:val="333333"/>
              </w:rPr>
              <w:t>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9710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繼續營業單位淨利（淨損）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0.22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9750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基本每股盈餘合計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basic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0.22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稀釋每股盈餘</w:t>
            </w:r>
            <w:r w:rsidRPr="00FF5F8D">
              <w:rPr>
                <w:color w:val="333333"/>
              </w:rPr>
              <w:t>Diluted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9810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繼續營業單位淨利（淨損）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0.22 </w:t>
            </w:r>
          </w:p>
        </w:tc>
      </w:tr>
      <w:tr w:rsidR="00FF5F8D" w:rsidRPr="00FF5F8D" w:rsidTr="00016EBC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color w:val="333333"/>
              </w:rPr>
              <w:t>9850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???</w:t>
            </w:r>
            <w:r w:rsidRPr="00FF5F8D">
              <w:rPr>
                <w:vanish/>
                <w:color w:val="333333"/>
              </w:rPr>
              <w:t>稀釋每股盈餘合計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Total diluted earnings per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016EBC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0.22 </w:t>
            </w:r>
          </w:p>
        </w:tc>
      </w:tr>
    </w:tbl>
    <w:p w:rsidR="00FF5F8D" w:rsidRPr="00FF5F8D" w:rsidRDefault="00FF5F8D" w:rsidP="00CF5E40">
      <w:r w:rsidRPr="00FF5F8D">
        <w:br/>
      </w:r>
      <w:r w:rsidRPr="00FF5F8D">
        <w:rPr>
          <w:vanish/>
        </w:rPr>
        <w:t>單位：新臺幣仟元</w:t>
      </w:r>
      <w:r w:rsidRPr="00FF5F8D">
        <w:t>Unit: NT$ thousands</w:t>
      </w:r>
    </w:p>
    <w:tbl>
      <w:tblPr>
        <w:tblW w:w="4500" w:type="pct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0222"/>
        <w:gridCol w:w="1783"/>
        <w:gridCol w:w="1783"/>
      </w:tblGrid>
      <w:tr w:rsidR="00FF5F8D" w:rsidRPr="00FF5F8D" w:rsidTr="00CB7328">
        <w:trPr>
          <w:hidden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jc w:val="center"/>
              <w:rPr>
                <w:b/>
              </w:rPr>
            </w:pPr>
            <w:r w:rsidRPr="00CF5E40">
              <w:rPr>
                <w:b/>
                <w:vanish/>
              </w:rPr>
              <w:t>現金流量表</w:t>
            </w:r>
            <w:r w:rsidRPr="00CF5E40">
              <w:rPr>
                <w:b/>
              </w:rPr>
              <w:t>Statements of Cash Flows</w:t>
            </w:r>
          </w:p>
        </w:tc>
      </w:tr>
      <w:tr w:rsidR="00FF5F8D" w:rsidRPr="00FF5F8D" w:rsidTr="00CB7328">
        <w:trPr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rPr>
                <w:b/>
              </w:rPr>
            </w:pPr>
            <w:bookmarkStart w:id="0" w:name="_GoBack"/>
            <w:r w:rsidRPr="00CF5E40">
              <w:rPr>
                <w:b/>
                <w:vanish/>
              </w:rPr>
              <w:t>代號</w:t>
            </w:r>
            <w:r w:rsidRPr="00CF5E40">
              <w:rPr>
                <w:b/>
              </w:rPr>
              <w:t>Code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jc w:val="center"/>
              <w:rPr>
                <w:b/>
              </w:rPr>
            </w:pPr>
            <w:r w:rsidRPr="00CF5E40">
              <w:rPr>
                <w:b/>
                <w:vanish/>
              </w:rPr>
              <w:t>會計項目</w:t>
            </w:r>
            <w:r w:rsidRPr="00CF5E40">
              <w:rPr>
                <w:b/>
              </w:rPr>
              <w:t>Accounting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rPr>
                <w:b/>
              </w:rPr>
            </w:pPr>
            <w:r w:rsidRPr="00CF5E40">
              <w:rPr>
                <w:b/>
                <w:vanish/>
              </w:rPr>
              <w:t>2022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2022/1/1To6/30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CF5E40" w:rsidRDefault="00FF5F8D" w:rsidP="00CF5E40">
            <w:pPr>
              <w:rPr>
                <w:b/>
              </w:rPr>
            </w:pPr>
            <w:r w:rsidRPr="00CF5E40">
              <w:rPr>
                <w:b/>
                <w:vanish/>
              </w:rPr>
              <w:t>2021</w:t>
            </w:r>
            <w:r w:rsidRPr="00CF5E40">
              <w:rPr>
                <w:b/>
                <w:vanish/>
              </w:rPr>
              <w:t>年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1</w:t>
            </w:r>
            <w:r w:rsidRPr="00CF5E40">
              <w:rPr>
                <w:b/>
                <w:vanish/>
              </w:rPr>
              <w:t>日至</w:t>
            </w:r>
            <w:r w:rsidRPr="00CF5E40">
              <w:rPr>
                <w:b/>
                <w:vanish/>
              </w:rPr>
              <w:t>6</w:t>
            </w:r>
            <w:r w:rsidRPr="00CF5E40">
              <w:rPr>
                <w:b/>
                <w:vanish/>
              </w:rPr>
              <w:t>月</w:t>
            </w:r>
            <w:r w:rsidRPr="00CF5E40">
              <w:rPr>
                <w:b/>
                <w:vanish/>
              </w:rPr>
              <w:t>30</w:t>
            </w:r>
            <w:r w:rsidRPr="00CF5E40">
              <w:rPr>
                <w:b/>
                <w:vanish/>
              </w:rPr>
              <w:t>日</w:t>
            </w:r>
            <w:r w:rsidRPr="00CF5E40">
              <w:rPr>
                <w:b/>
              </w:rPr>
              <w:t>2021/1/1To6/30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營業活動之現金流量－間接法</w:t>
            </w:r>
            <w:r w:rsidRPr="00FF5F8D">
              <w:rPr>
                <w:color w:val="333333"/>
              </w:rPr>
              <w:t>Cash flows from (used in) operating activities, indirect method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繼續營業單位稅前淨利（淨損）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Profit (loss) from continuing operations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7,790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本期稅前淨利（淨損）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Profit (loss)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7,790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調整項目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Adjustments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收益費損項目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Adjustments to reconcile 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折舊費用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Depreciation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19,566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20,014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攤銷費用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Amortization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212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預期信用減損損失（利益）數／呆帳費用提列（轉列收入）數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285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(413)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</w:t>
            </w:r>
            <w:r w:rsidRPr="00FF5F8D">
              <w:rPr>
                <w:vanish/>
                <w:color w:val="333333"/>
              </w:rPr>
              <w:t>??</w:t>
            </w:r>
            <w:r w:rsidRPr="00FF5F8D">
              <w:rPr>
                <w:vanish/>
                <w:color w:val="333333"/>
              </w:rPr>
              <w:t>利息費用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Interest expense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1,419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1,331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利息收入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Interest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(31)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股利收入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Dividend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(10,997)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收益費損項目合計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Total adjustments to reconcile 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10,442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21,113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與營業活動相關之資產／負債變動數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Changes in operating assets and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與營業活動相關之資產之淨變動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Changes in operating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應收票據（增加）減少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Decrease (increase) in notes receivable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1,473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3,082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應收帳款（增加）減少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Decrease (increase) in accounts receivable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(51,748)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(11,825)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應收帳款－關係人（增加）減少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Decrease (increase) in accounts receivable due from related parties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10,246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(11,264)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存貨（增加）減少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Adjustments for decrease (increase) in inventories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5,228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14,595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其他流動資產（增加）減少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Adjustments for decrease (increase) in other current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2,736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(3,691)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與營業活動相關之資產之淨變動合計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changes in operating assets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(32,065)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(9,103)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與營業活動相關之負債之淨變動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Changes in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合約負債增加（減少）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Increase (decrease) in contract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應付帳款增加（減少）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Increase (decrease) in accounts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(3,317)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489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其他應付款增加（減少）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Increase (decrease) in other payable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9,979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875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其他流動負債增加（減少）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Adjustments for increase (decrease) in other current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(165)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(641)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其他營業負債增加（減少）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Increase (decrease) in other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(1,429)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(3,702)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　與營業活動相關之負債之淨變動合計</w:t>
            </w:r>
            <w:r w:rsidRPr="00FF5F8D">
              <w:rPr>
                <w:color w:val="333333"/>
              </w:rPr>
              <w:t xml:space="preserve">　　　　</w:t>
            </w:r>
            <w:r w:rsidRPr="00FF5F8D">
              <w:rPr>
                <w:color w:val="333333"/>
              </w:rPr>
              <w:t>Total changes in operating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4,954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(2,979)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　與營業活動相關之資產及負債之淨變動合計</w:t>
            </w:r>
            <w:r w:rsidRPr="00FF5F8D">
              <w:rPr>
                <w:color w:val="333333"/>
              </w:rPr>
              <w:t xml:space="preserve">　　　</w:t>
            </w:r>
            <w:r w:rsidRPr="00FF5F8D">
              <w:rPr>
                <w:color w:val="333333"/>
              </w:rPr>
              <w:t>Total changes in operating assets and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(27,111)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(12,082)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　調整項目合計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>Total adjustments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(16,669)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9,031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營運產生之現金流入（流出）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Cash inflow (outflow) generated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24,442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16,821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收取之利息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Interest received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31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A33300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支付之利息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Interest paid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(1,419)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(1,331)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A33500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退還（支付）之所得稅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Income taxes refund (paid)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AAAA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營業活動之淨現金流入（流出</w:t>
            </w:r>
            <w:r w:rsidRPr="00FF5F8D">
              <w:rPr>
                <w:vanish/>
                <w:color w:val="333333"/>
              </w:rPr>
              <w:t>??</w:t>
            </w:r>
            <w:r w:rsidRPr="00FF5F8D">
              <w:rPr>
                <w:color w:val="333333"/>
              </w:rPr>
              <w:t>Net cash flows from (used in) operating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22,984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15,521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投資活動之現金流量</w:t>
            </w:r>
            <w:r w:rsidRPr="00FF5F8D">
              <w:rPr>
                <w:color w:val="333333"/>
              </w:rPr>
              <w:t>Cash flows from (used in) investing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B00030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透過其他綜合損益按公允價值衡量之金融資產減資退回股款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Proceeds from capital reduction of financial assets at fair value through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30,576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B02700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取得不動產、廠房及設備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Acquisition of property, plant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(8,882)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(20,293)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B02800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處分不動產、廠房及設備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Proceeds from disposal of property, plant and equipment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B07100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預付設備款增加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Increase in prepayments for business facilities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(671)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B07600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收取之股利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Dividends received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10,997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BBBB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投資活動之淨現金流入（流出）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Net cash flows from (used in) investing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32,276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(20,964)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新細明體" w:hAnsi="新細明體" w:cs="新細明體"/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籌資活動之現金流量</w:t>
            </w:r>
            <w:r w:rsidRPr="00FF5F8D">
              <w:rPr>
                <w:color w:val="333333"/>
              </w:rPr>
              <w:t>Cash flows from (used in) financing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C00100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短期借款增加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Increase in short-term loans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11,000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C01700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償還長期借款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Repayments of long-term debt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(10,593)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(9,375)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C04020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租賃本金償還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Payments of lease liabilities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(585)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(565)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CCCC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籌資活動之淨現金流入（流出）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Net cash flows from (used in) financing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(11,178)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1,060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EEEE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本期現金及約當現金增加（減少）數</w:t>
            </w:r>
            <w:r w:rsidRPr="00FF5F8D">
              <w:rPr>
                <w:color w:val="333333"/>
              </w:rPr>
              <w:t>Net increase (decrease) in cash and cash equivalents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44,082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(4,383)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E00100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期初現金及約當現金</w:t>
            </w:r>
            <w:r w:rsidRPr="00FF5F8D">
              <w:rPr>
                <w:vanish/>
                <w:color w:val="333333"/>
              </w:rPr>
              <w:t>???</w:t>
            </w:r>
            <w:r w:rsidRPr="00FF5F8D">
              <w:rPr>
                <w:vanish/>
                <w:color w:val="333333"/>
              </w:rPr>
              <w:t>額</w:t>
            </w:r>
            <w:r w:rsidRPr="00FF5F8D">
              <w:rPr>
                <w:color w:val="333333"/>
              </w:rPr>
              <w:t>Cash and cash equivalents at beginning of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78,200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53,406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E00200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期末現金及約當現金餘額</w:t>
            </w:r>
            <w:r w:rsidRPr="00FF5F8D">
              <w:rPr>
                <w:color w:val="333333"/>
              </w:rPr>
              <w:t>Cash and cash equivalents at end of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122,282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49,023 </w:t>
            </w:r>
          </w:p>
        </w:tc>
      </w:tr>
      <w:tr w:rsidR="00FF5F8D" w:rsidRPr="00FF5F8D" w:rsidTr="00CF5E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E00210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 xml:space="preserve">　資產負債表帳列之現金及約當現金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>Cash and cash equivalents reported in the statement of financial position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122,282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FF5F8D" w:rsidRDefault="00FF5F8D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49,023 </w:t>
            </w:r>
          </w:p>
        </w:tc>
      </w:tr>
    </w:tbl>
    <w:p w:rsidR="00FF5F8D" w:rsidRPr="00FF5F8D" w:rsidRDefault="00FF5F8D" w:rsidP="00CF5E40">
      <w:r w:rsidRPr="00FF5F8D">
        <w:rPr>
          <w:vanish/>
        </w:rPr>
        <w:lastRenderedPageBreak/>
        <w:t>單位：新臺幣仟元</w:t>
      </w:r>
      <w:r w:rsidRPr="00FF5F8D">
        <w:t>Unit: NT$ thousands</w:t>
      </w:r>
    </w:p>
    <w:tbl>
      <w:tblPr>
        <w:tblW w:w="49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882"/>
        <w:gridCol w:w="1131"/>
        <w:gridCol w:w="1277"/>
        <w:gridCol w:w="992"/>
        <w:gridCol w:w="992"/>
        <w:gridCol w:w="1564"/>
        <w:gridCol w:w="1270"/>
        <w:gridCol w:w="1839"/>
        <w:gridCol w:w="1425"/>
        <w:gridCol w:w="1273"/>
        <w:gridCol w:w="996"/>
        <w:gridCol w:w="986"/>
      </w:tblGrid>
      <w:tr w:rsidR="00FF5F8D" w:rsidRPr="00FF5F8D" w:rsidTr="00DC37CE">
        <w:trPr>
          <w:trHeight w:val="361"/>
          <w:hidden/>
        </w:trPr>
        <w:tc>
          <w:tcPr>
            <w:tcW w:w="5000" w:type="pct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DC37CE" w:rsidRDefault="00FF5F8D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當期權益變動表</w:t>
            </w:r>
            <w:r w:rsidRPr="00DC37CE">
              <w:rPr>
                <w:b/>
              </w:rPr>
              <w:t>Statements of Change in Equity</w:t>
            </w:r>
          </w:p>
        </w:tc>
      </w:tr>
      <w:tr w:rsidR="00DC37CE" w:rsidRPr="00FF5F8D" w:rsidTr="00DC37CE">
        <w:trPr>
          <w:trHeight w:val="445"/>
        </w:trPr>
        <w:tc>
          <w:tcPr>
            <w:tcW w:w="747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/>
        </w:tc>
        <w:tc>
          <w:tcPr>
            <w:tcW w:w="3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3110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3100</w:t>
            </w:r>
          </w:p>
        </w:tc>
        <w:tc>
          <w:tcPr>
            <w:tcW w:w="30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3200</w:t>
            </w:r>
          </w:p>
        </w:tc>
        <w:tc>
          <w:tcPr>
            <w:tcW w:w="30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3310</w:t>
            </w:r>
          </w:p>
        </w:tc>
        <w:tc>
          <w:tcPr>
            <w:tcW w:w="4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3350</w:t>
            </w:r>
          </w:p>
        </w:tc>
        <w:tc>
          <w:tcPr>
            <w:tcW w:w="39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3300</w:t>
            </w:r>
          </w:p>
        </w:tc>
        <w:tc>
          <w:tcPr>
            <w:tcW w:w="5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3420</w:t>
            </w:r>
          </w:p>
        </w:tc>
        <w:tc>
          <w:tcPr>
            <w:tcW w:w="4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3400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31XX</w:t>
            </w:r>
          </w:p>
        </w:tc>
        <w:tc>
          <w:tcPr>
            <w:tcW w:w="30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36XX</w:t>
            </w:r>
          </w:p>
        </w:tc>
        <w:tc>
          <w:tcPr>
            <w:tcW w:w="3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</w:rPr>
              <w:t>3XXX</w:t>
            </w:r>
          </w:p>
        </w:tc>
      </w:tr>
      <w:tr w:rsidR="00DC37CE" w:rsidRPr="00FF5F8D" w:rsidTr="00DC37CE">
        <w:trPr>
          <w:trHeight w:val="445"/>
        </w:trPr>
        <w:tc>
          <w:tcPr>
            <w:tcW w:w="747" w:type="pct"/>
            <w:gridSpan w:val="2"/>
            <w:vMerge/>
            <w:shd w:val="clear" w:color="auto" w:fill="auto"/>
            <w:vAlign w:val="center"/>
            <w:hideMark/>
          </w:tcPr>
          <w:p w:rsidR="00751734" w:rsidRPr="00FF5F8D" w:rsidRDefault="00751734" w:rsidP="00CF5E40"/>
        </w:tc>
        <w:tc>
          <w:tcPr>
            <w:tcW w:w="3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普通股股本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>Ordinary share</w:t>
            </w:r>
          </w:p>
        </w:tc>
        <w:tc>
          <w:tcPr>
            <w:tcW w:w="39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股本合計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>Total share capital</w:t>
            </w:r>
          </w:p>
        </w:tc>
        <w:tc>
          <w:tcPr>
            <w:tcW w:w="30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資本公積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>Capital surplus</w:t>
            </w:r>
          </w:p>
        </w:tc>
        <w:tc>
          <w:tcPr>
            <w:tcW w:w="30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法定盈餘公積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>Legal reserve</w:t>
            </w:r>
          </w:p>
        </w:tc>
        <w:tc>
          <w:tcPr>
            <w:tcW w:w="48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未分配盈餘（或待彌補虧損）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>Unappropriated retained earnings (accumulated deficit)</w:t>
            </w:r>
          </w:p>
        </w:tc>
        <w:tc>
          <w:tcPr>
            <w:tcW w:w="39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保留盈餘合計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>Total retained earnings</w:t>
            </w:r>
          </w:p>
        </w:tc>
        <w:tc>
          <w:tcPr>
            <w:tcW w:w="56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透過其他綜合損益按公允價值衡量之金融資產未實現評價</w:t>
            </w:r>
            <w:r w:rsidRPr="00DC37CE">
              <w:rPr>
                <w:b/>
                <w:vanish/>
              </w:rPr>
              <w:t>(</w:t>
            </w:r>
            <w:r w:rsidRPr="00DC37CE">
              <w:rPr>
                <w:b/>
                <w:vanish/>
              </w:rPr>
              <w:t>損</w:t>
            </w:r>
            <w:r w:rsidRPr="00DC37CE">
              <w:rPr>
                <w:b/>
                <w:vanish/>
              </w:rPr>
              <w:t>)</w:t>
            </w:r>
            <w:r w:rsidRPr="00DC37CE">
              <w:rPr>
                <w:b/>
                <w:vanish/>
              </w:rPr>
              <w:t>益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proofErr w:type="spellStart"/>
            <w:r w:rsidRPr="00DC37CE">
              <w:rPr>
                <w:b/>
              </w:rPr>
              <w:t>Unrealised</w:t>
            </w:r>
            <w:proofErr w:type="spellEnd"/>
            <w:r w:rsidRPr="00DC37CE">
              <w:rPr>
                <w:b/>
              </w:rPr>
              <w:t xml:space="preserve"> gains (losses) on financial assets measured at fair value through other comprehensive income</w:t>
            </w:r>
          </w:p>
        </w:tc>
        <w:tc>
          <w:tcPr>
            <w:tcW w:w="44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其他權益項目合計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>Total other equity interest</w:t>
            </w:r>
          </w:p>
        </w:tc>
        <w:tc>
          <w:tcPr>
            <w:tcW w:w="39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  <w:vanish/>
              </w:rPr>
              <w:t>歸屬於母公司業主之權益總計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</w:t>
            </w:r>
            <w:r w:rsidRPr="00DC37CE">
              <w:rPr>
                <w:b/>
              </w:rPr>
              <w:t xml:space="preserve">Total equity attributable to owners of parent </w:t>
            </w:r>
          </w:p>
        </w:tc>
        <w:tc>
          <w:tcPr>
            <w:tcW w:w="30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  <w:vanish/>
              </w:rPr>
              <w:t>非控制權益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</w:t>
            </w:r>
            <w:r w:rsidRPr="00DC37CE">
              <w:rPr>
                <w:b/>
              </w:rPr>
              <w:t xml:space="preserve">Non-controlling interests </w:t>
            </w:r>
          </w:p>
        </w:tc>
        <w:tc>
          <w:tcPr>
            <w:tcW w:w="30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DC37CE" w:rsidRDefault="00751734" w:rsidP="00CF5E40">
            <w:pPr>
              <w:rPr>
                <w:b/>
              </w:rPr>
            </w:pPr>
            <w:r w:rsidRPr="00DC37CE">
              <w:rPr>
                <w:b/>
                <w:vanish/>
              </w:rPr>
              <w:t>權益總額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</w:t>
            </w:r>
            <w:r w:rsidRPr="00DC37CE">
              <w:rPr>
                <w:b/>
              </w:rPr>
              <w:t xml:space="preserve">Total equity </w:t>
            </w:r>
          </w:p>
        </w:tc>
      </w:tr>
      <w:tr w:rsidR="00751734" w:rsidRPr="00FF5F8D" w:rsidTr="00751734">
        <w:trPr>
          <w:trHeight w:val="1084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A1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期初餘額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Equity at beginning of period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1,610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18,293 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19,903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40,553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514,110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62,269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576,379 </w:t>
            </w:r>
          </w:p>
        </w:tc>
      </w:tr>
      <w:tr w:rsidR="00751734" w:rsidRPr="00FF5F8D" w:rsidTr="00751734">
        <w:trPr>
          <w:trHeight w:val="1096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B1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提列法定盈餘公積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 xml:space="preserve">Legal reserve appropriated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804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(804)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</w:tr>
      <w:tr w:rsidR="00751734" w:rsidRPr="00FF5F8D" w:rsidTr="00751734">
        <w:trPr>
          <w:trHeight w:val="1084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B5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普通股</w:t>
            </w:r>
            <w:r w:rsidRPr="00FF5F8D">
              <w:rPr>
                <w:vanish/>
                <w:color w:val="333333"/>
              </w:rPr>
              <w:t>??</w:t>
            </w:r>
            <w:r w:rsidRPr="00FF5F8D">
              <w:rPr>
                <w:vanish/>
                <w:color w:val="333333"/>
              </w:rPr>
              <w:t>金股利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　</w:t>
            </w:r>
            <w:r w:rsidRPr="00FF5F8D">
              <w:rPr>
                <w:color w:val="333333"/>
              </w:rPr>
              <w:t xml:space="preserve">Cash dividends of ordinary share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(4,237)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(4,237)</w:t>
            </w:r>
          </w:p>
        </w:tc>
      </w:tr>
      <w:tr w:rsidR="00751734" w:rsidRPr="00FF5F8D" w:rsidTr="00751734">
        <w:trPr>
          <w:trHeight w:val="361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D1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本期淨利（淨損）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Profit (loss)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38,610 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38,610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38,610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2,588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41,198 </w:t>
            </w:r>
          </w:p>
        </w:tc>
      </w:tr>
      <w:tr w:rsidR="00751734" w:rsidRPr="00FF5F8D" w:rsidTr="00751734">
        <w:trPr>
          <w:trHeight w:val="734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D3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本期其他綜合損益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Other comprehensive </w:t>
            </w:r>
            <w:r w:rsidRPr="00FF5F8D">
              <w:rPr>
                <w:color w:val="333333"/>
              </w:rPr>
              <w:lastRenderedPageBreak/>
              <w:t xml:space="preserve">income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lastRenderedPageBreak/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(23)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(23)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2,807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2,807 </w:t>
            </w:r>
          </w:p>
        </w:tc>
      </w:tr>
      <w:tr w:rsidR="00751734" w:rsidRPr="00FF5F8D" w:rsidTr="00751734">
        <w:trPr>
          <w:trHeight w:val="1096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D5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本期綜合損益總額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Total comprehensive income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38,587 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38,587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41,417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2,588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44,005 </w:t>
            </w:r>
          </w:p>
        </w:tc>
      </w:tr>
      <w:tr w:rsidR="00751734" w:rsidRPr="00FF5F8D" w:rsidTr="00751734">
        <w:trPr>
          <w:trHeight w:val="1445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Y1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權益增加</w:t>
            </w:r>
            <w:r w:rsidRPr="00FF5F8D">
              <w:rPr>
                <w:vanish/>
                <w:color w:val="333333"/>
              </w:rPr>
              <w:t>(</w:t>
            </w:r>
            <w:r w:rsidRPr="00FF5F8D">
              <w:rPr>
                <w:vanish/>
                <w:color w:val="333333"/>
              </w:rPr>
              <w:t>減少</w:t>
            </w:r>
            <w:r w:rsidRPr="00FF5F8D">
              <w:rPr>
                <w:vanish/>
                <w:color w:val="333333"/>
              </w:rPr>
              <w:t>)</w:t>
            </w:r>
            <w:r w:rsidRPr="00FF5F8D">
              <w:rPr>
                <w:vanish/>
                <w:color w:val="333333"/>
              </w:rPr>
              <w:t>總額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804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33,546 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34,350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2,830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37,180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2,588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39,768 </w:t>
            </w:r>
          </w:p>
        </w:tc>
      </w:tr>
      <w:tr w:rsidR="00751734" w:rsidRPr="00FF5F8D" w:rsidTr="00751734">
        <w:trPr>
          <w:trHeight w:val="722"/>
        </w:trPr>
        <w:tc>
          <w:tcPr>
            <w:tcW w:w="1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color w:val="333333"/>
              </w:rPr>
              <w:t>Z1</w:t>
            </w:r>
          </w:p>
        </w:tc>
        <w:tc>
          <w:tcPr>
            <w:tcW w:w="58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期末餘額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Equity at end of period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9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30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2,414 </w:t>
            </w:r>
          </w:p>
        </w:tc>
        <w:tc>
          <w:tcPr>
            <w:tcW w:w="48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51,839 </w:t>
            </w:r>
          </w:p>
        </w:tc>
        <w:tc>
          <w:tcPr>
            <w:tcW w:w="39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54,253 </w:t>
            </w:r>
          </w:p>
        </w:tc>
        <w:tc>
          <w:tcPr>
            <w:tcW w:w="56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43,383 </w:t>
            </w:r>
          </w:p>
        </w:tc>
        <w:tc>
          <w:tcPr>
            <w:tcW w:w="44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43,383 </w:t>
            </w:r>
          </w:p>
        </w:tc>
        <w:tc>
          <w:tcPr>
            <w:tcW w:w="39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551,290 </w:t>
            </w:r>
          </w:p>
        </w:tc>
        <w:tc>
          <w:tcPr>
            <w:tcW w:w="30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64,857 </w:t>
            </w:r>
          </w:p>
        </w:tc>
        <w:tc>
          <w:tcPr>
            <w:tcW w:w="30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1734" w:rsidRPr="00FF5F8D" w:rsidRDefault="00751734" w:rsidP="00CF5E40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616,147 </w:t>
            </w:r>
          </w:p>
        </w:tc>
      </w:tr>
    </w:tbl>
    <w:p w:rsidR="007B3004" w:rsidRDefault="007B3004" w:rsidP="00751734"/>
    <w:p w:rsidR="00FF5F8D" w:rsidRPr="00FF5F8D" w:rsidRDefault="00FF5F8D" w:rsidP="00751734">
      <w:r w:rsidRPr="00FF5F8D">
        <w:rPr>
          <w:vanish/>
        </w:rPr>
        <w:t>單位：新臺幣仟元</w:t>
      </w:r>
      <w:r w:rsidRPr="00FF5F8D">
        <w:t>Unit: NT$ thousands</w:t>
      </w: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40"/>
        <w:gridCol w:w="1174"/>
        <w:gridCol w:w="940"/>
        <w:gridCol w:w="1113"/>
        <w:gridCol w:w="911"/>
        <w:gridCol w:w="1743"/>
        <w:gridCol w:w="1380"/>
        <w:gridCol w:w="1671"/>
        <w:gridCol w:w="1149"/>
        <w:gridCol w:w="1383"/>
        <w:gridCol w:w="1386"/>
        <w:gridCol w:w="1104"/>
      </w:tblGrid>
      <w:tr w:rsidR="00FF5F8D" w:rsidRPr="00DC37CE" w:rsidTr="00DC37CE">
        <w:trPr>
          <w:trHeight w:val="360"/>
          <w:hidden/>
        </w:trPr>
        <w:tc>
          <w:tcPr>
            <w:tcW w:w="5000" w:type="pct"/>
            <w:gridSpan w:val="1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5F8D" w:rsidRPr="00DC37CE" w:rsidRDefault="00FF5F8D" w:rsidP="00DC37CE">
            <w:pPr>
              <w:jc w:val="center"/>
              <w:rPr>
                <w:b/>
              </w:rPr>
            </w:pPr>
            <w:r w:rsidRPr="00DC37CE">
              <w:rPr>
                <w:b/>
                <w:vanish/>
              </w:rPr>
              <w:t>去年同期權益變動表</w:t>
            </w:r>
            <w:r w:rsidRPr="00DC37CE">
              <w:rPr>
                <w:b/>
              </w:rPr>
              <w:t xml:space="preserve"> Last year's Statements of Change in Equity</w:t>
            </w:r>
          </w:p>
        </w:tc>
      </w:tr>
      <w:tr w:rsidR="00DC37CE" w:rsidRPr="00DC37CE" w:rsidTr="00DC37CE">
        <w:trPr>
          <w:trHeight w:val="341"/>
        </w:trPr>
        <w:tc>
          <w:tcPr>
            <w:tcW w:w="643" w:type="pct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/>
        </w:tc>
        <w:tc>
          <w:tcPr>
            <w:tcW w:w="3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3110</w:t>
            </w:r>
          </w:p>
        </w:tc>
        <w:tc>
          <w:tcPr>
            <w:tcW w:w="2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3100</w:t>
            </w:r>
          </w:p>
        </w:tc>
        <w:tc>
          <w:tcPr>
            <w:tcW w:w="35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3200</w:t>
            </w:r>
          </w:p>
        </w:tc>
        <w:tc>
          <w:tcPr>
            <w:tcW w:w="29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3310</w:t>
            </w:r>
          </w:p>
        </w:tc>
        <w:tc>
          <w:tcPr>
            <w:tcW w:w="53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3350</w:t>
            </w:r>
          </w:p>
        </w:tc>
        <w:tc>
          <w:tcPr>
            <w:tcW w:w="4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3300</w:t>
            </w:r>
          </w:p>
        </w:tc>
        <w:tc>
          <w:tcPr>
            <w:tcW w:w="51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3420</w:t>
            </w:r>
          </w:p>
        </w:tc>
        <w:tc>
          <w:tcPr>
            <w:tcW w:w="3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3400</w:t>
            </w:r>
          </w:p>
        </w:tc>
        <w:tc>
          <w:tcPr>
            <w:tcW w:w="43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31XX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36XX</w:t>
            </w:r>
          </w:p>
        </w:tc>
        <w:tc>
          <w:tcPr>
            <w:tcW w:w="3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</w:rPr>
              <w:t>3XXX</w:t>
            </w:r>
          </w:p>
        </w:tc>
      </w:tr>
      <w:tr w:rsidR="00DC37CE" w:rsidRPr="00DC37CE" w:rsidTr="00DC37CE">
        <w:trPr>
          <w:trHeight w:val="445"/>
        </w:trPr>
        <w:tc>
          <w:tcPr>
            <w:tcW w:w="643" w:type="pct"/>
            <w:gridSpan w:val="2"/>
            <w:vMerge/>
            <w:shd w:val="clear" w:color="auto" w:fill="auto"/>
            <w:vAlign w:val="center"/>
            <w:hideMark/>
          </w:tcPr>
          <w:p w:rsidR="007B3004" w:rsidRPr="00FF5F8D" w:rsidRDefault="007B3004" w:rsidP="007B3004"/>
        </w:tc>
        <w:tc>
          <w:tcPr>
            <w:tcW w:w="373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普通股股本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 xml:space="preserve">Ordinary share </w:t>
            </w:r>
          </w:p>
        </w:tc>
        <w:tc>
          <w:tcPr>
            <w:tcW w:w="2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股本合計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 xml:space="preserve">Total share capital </w:t>
            </w:r>
          </w:p>
        </w:tc>
        <w:tc>
          <w:tcPr>
            <w:tcW w:w="354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資本公積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 xml:space="preserve">Capital surplus </w:t>
            </w:r>
          </w:p>
        </w:tc>
        <w:tc>
          <w:tcPr>
            <w:tcW w:w="291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法定盈餘公積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 xml:space="preserve">Legal reserve </w:t>
            </w:r>
          </w:p>
        </w:tc>
        <w:tc>
          <w:tcPr>
            <w:tcW w:w="53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未分配盈餘（或待彌補虧損）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r w:rsidRPr="00DC37CE">
              <w:rPr>
                <w:b/>
              </w:rPr>
              <w:t xml:space="preserve">Unappropriated retained earnings (accumulated deficit) </w:t>
            </w:r>
          </w:p>
        </w:tc>
        <w:tc>
          <w:tcPr>
            <w:tcW w:w="437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保留盈餘合計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 xml:space="preserve">Total retained earnings </w:t>
            </w:r>
          </w:p>
        </w:tc>
        <w:tc>
          <w:tcPr>
            <w:tcW w:w="51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透過其他綜合損益按公允價值衡量之金融資產未實現評價</w:t>
            </w:r>
            <w:r w:rsidRPr="00DC37CE">
              <w:rPr>
                <w:b/>
                <w:vanish/>
              </w:rPr>
              <w:t>(</w:t>
            </w:r>
            <w:r w:rsidRPr="00DC37CE">
              <w:rPr>
                <w:b/>
                <w:vanish/>
              </w:rPr>
              <w:t>損</w:t>
            </w:r>
            <w:r w:rsidRPr="00DC37CE">
              <w:rPr>
                <w:b/>
                <w:vanish/>
              </w:rPr>
              <w:t>)</w:t>
            </w:r>
            <w:r w:rsidRPr="00DC37CE">
              <w:rPr>
                <w:b/>
                <w:vanish/>
              </w:rPr>
              <w:t>益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　</w:t>
            </w:r>
            <w:proofErr w:type="spellStart"/>
            <w:r w:rsidRPr="00DC37CE">
              <w:rPr>
                <w:b/>
              </w:rPr>
              <w:t>Unrealised</w:t>
            </w:r>
            <w:proofErr w:type="spellEnd"/>
            <w:r w:rsidRPr="00DC37CE">
              <w:rPr>
                <w:b/>
              </w:rPr>
              <w:t xml:space="preserve"> gains (losses) on financial assets measured at fair value through other comprehensive income </w:t>
            </w:r>
          </w:p>
        </w:tc>
        <w:tc>
          <w:tcPr>
            <w:tcW w:w="365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其他權益項目合計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　</w:t>
            </w:r>
            <w:r w:rsidRPr="00DC37CE">
              <w:rPr>
                <w:b/>
              </w:rPr>
              <w:t xml:space="preserve">Total other equity interest </w:t>
            </w:r>
          </w:p>
        </w:tc>
        <w:tc>
          <w:tcPr>
            <w:tcW w:w="43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歸屬於母公司業主之權益總計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</w:t>
            </w:r>
            <w:r w:rsidRPr="00DC37CE">
              <w:rPr>
                <w:b/>
              </w:rPr>
              <w:t xml:space="preserve">Total equity attributable to owners of parent </w:t>
            </w:r>
          </w:p>
        </w:tc>
        <w:tc>
          <w:tcPr>
            <w:tcW w:w="439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非控制權益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　</w:t>
            </w:r>
            <w:r w:rsidRPr="00DC37CE">
              <w:rPr>
                <w:b/>
              </w:rPr>
              <w:t xml:space="preserve">Non-controlling interests </w:t>
            </w:r>
          </w:p>
        </w:tc>
        <w:tc>
          <w:tcPr>
            <w:tcW w:w="3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DC37CE" w:rsidRDefault="007B3004" w:rsidP="007B3004">
            <w:pPr>
              <w:rPr>
                <w:b/>
              </w:rPr>
            </w:pPr>
            <w:r w:rsidRPr="00DC37CE">
              <w:rPr>
                <w:b/>
                <w:vanish/>
              </w:rPr>
              <w:t>權益總額</w:t>
            </w:r>
            <w:r w:rsidRPr="00DC37CE">
              <w:rPr>
                <w:b/>
              </w:rPr>
              <w:t xml:space="preserve"> </w:t>
            </w:r>
            <w:r w:rsidRPr="00DC37CE">
              <w:rPr>
                <w:b/>
              </w:rPr>
              <w:t xml:space="preserve">　　</w:t>
            </w:r>
            <w:r w:rsidRPr="00DC37CE">
              <w:rPr>
                <w:b/>
              </w:rPr>
              <w:t xml:space="preserve">Total equity </w:t>
            </w:r>
          </w:p>
        </w:tc>
      </w:tr>
      <w:tr w:rsidR="00DC37CE" w:rsidRPr="00FF5F8D" w:rsidTr="007B3004">
        <w:trPr>
          <w:trHeight w:val="1085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lastRenderedPageBreak/>
              <w:t>A1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期初餘額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Equity at beginning of period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16,098 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42,272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512,024 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60,217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572,241 </w:t>
            </w:r>
          </w:p>
        </w:tc>
      </w:tr>
      <w:tr w:rsidR="00DC37CE" w:rsidRPr="00FF5F8D" w:rsidTr="007B3004">
        <w:trPr>
          <w:trHeight w:val="373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t>D1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本期淨利（淨損）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Profit (loss)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9,286 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9,286 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9,286 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397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9,683 </w:t>
            </w:r>
          </w:p>
        </w:tc>
      </w:tr>
      <w:tr w:rsidR="00DC37CE" w:rsidRPr="00FF5F8D" w:rsidTr="007B3004">
        <w:trPr>
          <w:trHeight w:val="1085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t>D3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本期其他綜合損益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Other comprehensive income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(741)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(741)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(411)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>(411)</w:t>
            </w:r>
          </w:p>
        </w:tc>
      </w:tr>
      <w:tr w:rsidR="00DC37CE" w:rsidRPr="00FF5F8D" w:rsidTr="007B3004">
        <w:trPr>
          <w:trHeight w:val="1085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t>D5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本期綜合損益總額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Total comprehensive income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8,545 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8,545 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8,875 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397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9,272 </w:t>
            </w:r>
          </w:p>
        </w:tc>
      </w:tr>
      <w:tr w:rsidR="00DC37CE" w:rsidRPr="00FF5F8D" w:rsidTr="007B3004">
        <w:trPr>
          <w:trHeight w:val="1459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t>Y1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權益增加</w:t>
            </w:r>
            <w:r w:rsidRPr="00FF5F8D">
              <w:rPr>
                <w:vanish/>
                <w:color w:val="333333"/>
              </w:rPr>
              <w:t>(</w:t>
            </w:r>
            <w:r w:rsidRPr="00FF5F8D">
              <w:rPr>
                <w:vanish/>
                <w:color w:val="333333"/>
              </w:rPr>
              <w:t>減少</w:t>
            </w:r>
            <w:r w:rsidRPr="00FF5F8D">
              <w:rPr>
                <w:vanish/>
                <w:color w:val="333333"/>
              </w:rPr>
              <w:t>)</w:t>
            </w:r>
            <w:r w:rsidRPr="00FF5F8D">
              <w:rPr>
                <w:vanish/>
                <w:color w:val="333333"/>
              </w:rPr>
              <w:t>總額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Total increase (decrease) in equity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8,545 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8,545 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330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8,875 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397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9,272 </w:t>
            </w:r>
          </w:p>
        </w:tc>
      </w:tr>
      <w:tr w:rsidR="00DC37CE" w:rsidRPr="00FF5F8D" w:rsidTr="007B3004">
        <w:trPr>
          <w:trHeight w:val="723"/>
        </w:trPr>
        <w:tc>
          <w:tcPr>
            <w:tcW w:w="13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color w:val="333333"/>
              </w:rPr>
              <w:t>Z1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color w:val="333333"/>
              </w:rPr>
            </w:pPr>
            <w:r w:rsidRPr="00FF5F8D">
              <w:rPr>
                <w:vanish/>
                <w:color w:val="333333"/>
              </w:rPr>
              <w:t>期末餘額</w:t>
            </w:r>
            <w:r w:rsidRPr="00FF5F8D">
              <w:rPr>
                <w:color w:val="333333"/>
              </w:rPr>
              <w:t xml:space="preserve"> </w:t>
            </w:r>
            <w:r w:rsidRPr="00FF5F8D">
              <w:rPr>
                <w:color w:val="333333"/>
              </w:rPr>
              <w:t xml:space="preserve">　</w:t>
            </w:r>
            <w:r w:rsidRPr="00FF5F8D">
              <w:rPr>
                <w:color w:val="333333"/>
              </w:rPr>
              <w:t xml:space="preserve">Equity at end of period </w:t>
            </w:r>
          </w:p>
        </w:tc>
        <w:tc>
          <w:tcPr>
            <w:tcW w:w="373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2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423,735 </w:t>
            </w:r>
          </w:p>
        </w:tc>
        <w:tc>
          <w:tcPr>
            <w:tcW w:w="354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29,919 </w:t>
            </w:r>
          </w:p>
        </w:tc>
        <w:tc>
          <w:tcPr>
            <w:tcW w:w="291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53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24,643 </w:t>
            </w:r>
          </w:p>
        </w:tc>
        <w:tc>
          <w:tcPr>
            <w:tcW w:w="437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24,643 </w:t>
            </w:r>
          </w:p>
        </w:tc>
        <w:tc>
          <w:tcPr>
            <w:tcW w:w="51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42,602 </w:t>
            </w:r>
          </w:p>
        </w:tc>
        <w:tc>
          <w:tcPr>
            <w:tcW w:w="365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42,602 </w:t>
            </w:r>
          </w:p>
        </w:tc>
        <w:tc>
          <w:tcPr>
            <w:tcW w:w="43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520,899 </w:t>
            </w:r>
          </w:p>
        </w:tc>
        <w:tc>
          <w:tcPr>
            <w:tcW w:w="439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60,614 </w:t>
            </w:r>
          </w:p>
        </w:tc>
        <w:tc>
          <w:tcPr>
            <w:tcW w:w="35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004" w:rsidRPr="00FF5F8D" w:rsidRDefault="007B3004" w:rsidP="007B3004">
            <w:pPr>
              <w:rPr>
                <w:rFonts w:eastAsia="細明體"/>
                <w:color w:val="333333"/>
              </w:rPr>
            </w:pPr>
            <w:r w:rsidRPr="00FF5F8D">
              <w:rPr>
                <w:rFonts w:eastAsia="細明體"/>
                <w:color w:val="333333"/>
              </w:rPr>
              <w:t xml:space="preserve">581,513 </w:t>
            </w:r>
          </w:p>
        </w:tc>
      </w:tr>
    </w:tbl>
    <w:p w:rsidR="00FF5F8D" w:rsidRDefault="00FF5F8D" w:rsidP="007B3004">
      <w:pPr>
        <w:rPr>
          <w:rFonts w:ascii="Arial" w:hAnsi="Arial" w:cs="Arial" w:hint="eastAsia"/>
          <w:sz w:val="23"/>
          <w:szCs w:val="23"/>
          <w:bdr w:val="single" w:sz="4" w:space="0" w:color="auto"/>
        </w:rPr>
      </w:pPr>
    </w:p>
    <w:sectPr w:rsidR="00FF5F8D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095" w:rsidRDefault="009D7095" w:rsidP="00A60036">
      <w:r>
        <w:separator/>
      </w:r>
    </w:p>
  </w:endnote>
  <w:endnote w:type="continuationSeparator" w:id="0">
    <w:p w:rsidR="009D7095" w:rsidRDefault="009D7095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095" w:rsidRDefault="009D7095" w:rsidP="00A60036">
      <w:r>
        <w:separator/>
      </w:r>
    </w:p>
  </w:footnote>
  <w:footnote w:type="continuationSeparator" w:id="0">
    <w:p w:rsidR="009D7095" w:rsidRDefault="009D7095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16EBC"/>
    <w:rsid w:val="00081D3E"/>
    <w:rsid w:val="000955ED"/>
    <w:rsid w:val="000B29A5"/>
    <w:rsid w:val="001567AD"/>
    <w:rsid w:val="00170610"/>
    <w:rsid w:val="001949AE"/>
    <w:rsid w:val="001B4F65"/>
    <w:rsid w:val="001D6D33"/>
    <w:rsid w:val="00214549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412D48"/>
    <w:rsid w:val="0042003C"/>
    <w:rsid w:val="004232B0"/>
    <w:rsid w:val="00500E4E"/>
    <w:rsid w:val="00510D2D"/>
    <w:rsid w:val="005331A9"/>
    <w:rsid w:val="005C3755"/>
    <w:rsid w:val="005F1BF9"/>
    <w:rsid w:val="00693D2F"/>
    <w:rsid w:val="00695C86"/>
    <w:rsid w:val="006C0A79"/>
    <w:rsid w:val="006E748C"/>
    <w:rsid w:val="007505F0"/>
    <w:rsid w:val="00751734"/>
    <w:rsid w:val="00792E7A"/>
    <w:rsid w:val="007B3004"/>
    <w:rsid w:val="00815741"/>
    <w:rsid w:val="00865DF5"/>
    <w:rsid w:val="00886FD7"/>
    <w:rsid w:val="00892C63"/>
    <w:rsid w:val="008A6E2D"/>
    <w:rsid w:val="008C0917"/>
    <w:rsid w:val="008F1D02"/>
    <w:rsid w:val="00925364"/>
    <w:rsid w:val="009D568F"/>
    <w:rsid w:val="009D7095"/>
    <w:rsid w:val="009E782C"/>
    <w:rsid w:val="00A01511"/>
    <w:rsid w:val="00A243DD"/>
    <w:rsid w:val="00A60036"/>
    <w:rsid w:val="00A6043A"/>
    <w:rsid w:val="00A67067"/>
    <w:rsid w:val="00B15301"/>
    <w:rsid w:val="00B26D45"/>
    <w:rsid w:val="00B36653"/>
    <w:rsid w:val="00BA12F8"/>
    <w:rsid w:val="00BD530D"/>
    <w:rsid w:val="00C3190A"/>
    <w:rsid w:val="00C5142A"/>
    <w:rsid w:val="00C6027C"/>
    <w:rsid w:val="00C93249"/>
    <w:rsid w:val="00CB7328"/>
    <w:rsid w:val="00CE2887"/>
    <w:rsid w:val="00CF32F4"/>
    <w:rsid w:val="00CF5E40"/>
    <w:rsid w:val="00D4229E"/>
    <w:rsid w:val="00D51DC2"/>
    <w:rsid w:val="00D86239"/>
    <w:rsid w:val="00DC37CE"/>
    <w:rsid w:val="00DD0598"/>
    <w:rsid w:val="00E16397"/>
    <w:rsid w:val="00E17305"/>
    <w:rsid w:val="00E207CB"/>
    <w:rsid w:val="00E32824"/>
    <w:rsid w:val="00E6775C"/>
    <w:rsid w:val="00E71195"/>
    <w:rsid w:val="00E80823"/>
    <w:rsid w:val="00E956B6"/>
    <w:rsid w:val="00E95DE2"/>
    <w:rsid w:val="00EA1D88"/>
    <w:rsid w:val="00F0214F"/>
    <w:rsid w:val="00F104A0"/>
    <w:rsid w:val="00F44BCC"/>
    <w:rsid w:val="00FC0D89"/>
    <w:rsid w:val="00FD1568"/>
    <w:rsid w:val="00FD2375"/>
    <w:rsid w:val="00FE5AC3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BEA58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7">
    <w:name w:val="無清單7"/>
    <w:next w:val="a2"/>
    <w:uiPriority w:val="99"/>
    <w:semiHidden/>
    <w:unhideWhenUsed/>
    <w:rsid w:val="00E956B6"/>
  </w:style>
  <w:style w:type="numbering" w:customStyle="1" w:styleId="8">
    <w:name w:val="無清單8"/>
    <w:next w:val="a2"/>
    <w:uiPriority w:val="99"/>
    <w:semiHidden/>
    <w:unhideWhenUsed/>
    <w:rsid w:val="00E80823"/>
  </w:style>
  <w:style w:type="numbering" w:customStyle="1" w:styleId="9">
    <w:name w:val="無清單9"/>
    <w:next w:val="a2"/>
    <w:uiPriority w:val="99"/>
    <w:semiHidden/>
    <w:unhideWhenUsed/>
    <w:rsid w:val="001567AD"/>
  </w:style>
  <w:style w:type="paragraph" w:customStyle="1" w:styleId="70">
    <w:name w:val="頁首7"/>
    <w:basedOn w:val="a"/>
    <w:rsid w:val="001567A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71">
    <w:name w:val="標題7"/>
    <w:basedOn w:val="a"/>
    <w:rsid w:val="001567A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1567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numbering" w:customStyle="1" w:styleId="100">
    <w:name w:val="無清單10"/>
    <w:next w:val="a2"/>
    <w:uiPriority w:val="99"/>
    <w:semiHidden/>
    <w:unhideWhenUsed/>
    <w:rsid w:val="00C93249"/>
  </w:style>
  <w:style w:type="numbering" w:customStyle="1" w:styleId="110">
    <w:name w:val="無清單11"/>
    <w:next w:val="a2"/>
    <w:uiPriority w:val="99"/>
    <w:semiHidden/>
    <w:unhideWhenUsed/>
    <w:rsid w:val="00FF5F8D"/>
  </w:style>
  <w:style w:type="paragraph" w:customStyle="1" w:styleId="header">
    <w:name w:val="header"/>
    <w:basedOn w:val="a"/>
    <w:rsid w:val="00FF5F8D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FF5F8D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5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8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0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8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70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27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5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7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89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53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3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56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784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2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4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00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6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41CF-6D5B-4D0F-98B7-928FAB17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2147</Words>
  <Characters>12243</Characters>
  <Application>Microsoft Office Word</Application>
  <DocSecurity>0</DocSecurity>
  <Lines>102</Lines>
  <Paragraphs>28</Paragraphs>
  <ScaleCrop>false</ScaleCrop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6</cp:revision>
  <dcterms:created xsi:type="dcterms:W3CDTF">2022-09-02T00:47:00Z</dcterms:created>
  <dcterms:modified xsi:type="dcterms:W3CDTF">2022-09-02T03:16:00Z</dcterms:modified>
</cp:coreProperties>
</file>